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so-20260423.htm"/>
      <w:bookmarkStart w:id="1" w:name="kswso2026042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23, 2026</w:t>
            </w:r>
          </w:p>
        </w:tc>
      </w:tr>
    </w:tbl>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WATSCO,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59-0778222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2665 South Bayshore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901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714-4100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316"/>
        <w:gridCol w:w="146"/>
        <w:gridCol w:w="826"/>
        <w:gridCol w:w="146"/>
        <w:gridCol w:w="38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rFonts w:ascii="Times New Roman" w:hAnsi="Times New Roman"/>
          <w:sz w:val="20"/>
        </w:rPr>
      </w:pPr>
      <w:r>
        <w:rPr>
          <w:rFonts w:ascii="Times New Roman" w:hAnsi="Times New Roman"/>
          <w:color w:val="000000"/>
          <w:sz w:val="20"/>
        </w:rPr>
        <w:t>On April 23, 2026, Watsco, Inc., a Florida corporation (the “</w:t>
      </w:r>
      <w:r>
        <w:rPr>
          <w:rFonts w:ascii="Times New Roman" w:hAnsi="Times New Roman"/>
          <w:color w:val="000000"/>
          <w:sz w:val="20"/>
          <w:u w:val="single"/>
        </w:rPr>
        <w:t>Company</w:t>
      </w:r>
      <w:r>
        <w:rPr>
          <w:rFonts w:ascii="Times New Roman" w:hAnsi="Times New Roman"/>
          <w:color w:val="000000"/>
          <w:sz w:val="20"/>
        </w:rPr>
        <w:t>”), entered into an asset purchase agreement (the “</w:t>
      </w:r>
      <w:r>
        <w:rPr>
          <w:rFonts w:ascii="Times New Roman" w:hAnsi="Times New Roman"/>
          <w:color w:val="000000"/>
          <w:sz w:val="20"/>
          <w:u w:val="single"/>
        </w:rPr>
        <w:t>Purchase Agreement</w:t>
      </w:r>
      <w:r>
        <w:rPr>
          <w:rFonts w:ascii="Times New Roman" w:hAnsi="Times New Roman"/>
          <w:color w:val="000000"/>
          <w:sz w:val="20"/>
        </w:rPr>
        <w:t>”) together with Jackson Supply Company, a Texas corporation (“</w:t>
      </w:r>
      <w:r>
        <w:rPr>
          <w:rFonts w:ascii="Times New Roman" w:hAnsi="Times New Roman"/>
          <w:color w:val="000000"/>
          <w:sz w:val="20"/>
          <w:u w:val="single"/>
        </w:rPr>
        <w:t>Seller</w:t>
      </w:r>
      <w:r>
        <w:rPr>
          <w:rFonts w:ascii="Times New Roman" w:hAnsi="Times New Roman"/>
          <w:color w:val="000000"/>
          <w:sz w:val="20"/>
        </w:rPr>
        <w:t>”), Jackson Supply LLC, a Delaware limited liability company and wholly owned subsidiary of the Company (“</w:t>
      </w:r>
      <w:r>
        <w:rPr>
          <w:rFonts w:ascii="Times New Roman" w:hAnsi="Times New Roman"/>
          <w:color w:val="000000"/>
          <w:sz w:val="20"/>
          <w:u w:val="single"/>
        </w:rPr>
        <w:t>Buyer</w:t>
      </w:r>
      <w:r>
        <w:rPr>
          <w:rFonts w:ascii="Times New Roman" w:hAnsi="Times New Roman"/>
          <w:color w:val="000000"/>
          <w:sz w:val="20"/>
        </w:rPr>
        <w:t>”), and the other parties thereto, pursuant to which Buyer has agreed to purchase the assets, and assume certain of the liabilities, comprising the HVAC distribution business of Jackson (the “</w:t>
      </w:r>
      <w:r>
        <w:rPr>
          <w:rFonts w:ascii="Times New Roman" w:hAnsi="Times New Roman"/>
          <w:color w:val="000000"/>
          <w:sz w:val="20"/>
          <w:u w:val="single"/>
        </w:rPr>
        <w:t>Business</w:t>
      </w:r>
      <w:r>
        <w:rPr>
          <w:rFonts w:ascii="Times New Roman" w:hAnsi="Times New Roman"/>
          <w:color w:val="000000"/>
          <w:sz w:val="20"/>
        </w:rPr>
        <w:t>”). Pursuant to the Purchase Agreement, upon consummation of the contemplated transaction (the “</w:t>
      </w:r>
      <w:r>
        <w:rPr>
          <w:rFonts w:ascii="Times New Roman" w:hAnsi="Times New Roman"/>
          <w:color w:val="000000"/>
          <w:sz w:val="20"/>
          <w:u w:val="single"/>
        </w:rPr>
        <w:t>Closing</w:t>
      </w:r>
      <w:r>
        <w:rPr>
          <w:rFonts w:ascii="Times New Roman" w:hAnsi="Times New Roman"/>
          <w:color w:val="000000"/>
          <w:sz w:val="20"/>
        </w:rPr>
        <w:t>”), the Company has agreed to issue to Seller a number of shares of the Company’s Common stock, par value $0.50 per share (“</w:t>
      </w:r>
      <w:r>
        <w:rPr>
          <w:rFonts w:ascii="Times New Roman" w:hAnsi="Times New Roman"/>
          <w:color w:val="000000"/>
          <w:sz w:val="20"/>
          <w:u w:val="single"/>
        </w:rPr>
        <w:t>Common Stock</w:t>
      </w:r>
      <w:r>
        <w:rPr>
          <w:rFonts w:ascii="Times New Roman" w:hAnsi="Times New Roman"/>
          <w:color w:val="000000"/>
          <w:sz w:val="20"/>
        </w:rPr>
        <w:t>”), equal to $198.0 million, net of the Business’ debt and transaction expenses, divided by the daily volume-weighted average price of the Common Stock on the New York Stock Exchange for the ten most recent trading days immediately preceding the Closing (the “</w:t>
      </w:r>
      <w:r>
        <w:rPr>
          <w:rFonts w:ascii="Times New Roman" w:hAnsi="Times New Roman"/>
          <w:color w:val="000000"/>
          <w:sz w:val="20"/>
          <w:u w:val="single"/>
        </w:rPr>
        <w:t>Consideration Shares</w:t>
      </w:r>
      <w:r>
        <w:rPr>
          <w:rFonts w:ascii="Times New Roman" w:hAnsi="Times New Roman"/>
          <w:color w:val="000000"/>
          <w:sz w:val="20"/>
        </w:rPr>
        <w:t xml:space="preserve">”). Of the Consideration Shares, $25.0 million of such shares will be held in escrow for a period of up to 12 months following the Closing in connection with customary purchase price adjustments and indemnification obligations of Seller. Closing is subject to the satisfaction or waiver of customary closing conditions, including regulatory approval, the accuracy of the parties’ respective representations and warranties and the performance in all material respects of the parties’ respective covenants under the Purchase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the daily volume-weighted average price of the Common Stock on the New York Stock Exchange for the ten most recent trading days ended April 27, 2026, and assuming no adjustments for debt or transaction expenses, the Company would issue an aggregate of 458,985 Consideration Shares to Seller at Closing. The foregoing number of Consideration Shares is only an estimate, and the actual number of Consideration Shares to be issued under the Purchase Agreement is subject to Closing and the finalization of the calculations and purchase price adjustments set forth above.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Consideration Shares have not been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xml:space="preserve">”), and the Company offered the Consideration Shares in reliance upon the exemption from registration contained in Section 4(a)(2) of the Securities Act. Seller represented to the Company that it is an “accredited investor” as defined in Rule 501(a) under the Securities Act and that it is acquiring the Consideration Shares for investment and not with a view to distribution thereof in violation of the Securities Act. </w:t>
      </w:r>
    </w:p>
    <w:p>
      <w:pPr>
        <w:pStyle w:val="TextBody"/>
        <w:bidi w:val="0"/>
        <w:jc w:val="both"/>
        <w:rPr/>
      </w:pPr>
      <w:r>
        <w:rPr/>
        <w:t> </w:t>
      </w:r>
    </w:p>
    <w:p>
      <w:pPr>
        <w:pStyle w:val="TextBody"/>
        <w:bidi w:val="0"/>
        <w:jc w:val="both"/>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09" w:type="dxa"/>
        <w:jc w:val="left"/>
        <w:tblInd w:w="0" w:type="dxa"/>
        <w:tblLayout w:type="fixed"/>
        <w:tblCellMar>
          <w:top w:w="28" w:type="dxa"/>
          <w:left w:w="28" w:type="dxa"/>
          <w:bottom w:w="28" w:type="dxa"/>
          <w:right w:w="28" w:type="dxa"/>
        </w:tblCellMar>
      </w:tblPr>
      <w:tblGrid>
        <w:gridCol w:w="556"/>
        <w:gridCol w:w="129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WATSCO,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Ana M. Menendez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Ana M. Menendez,</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4266</Characters>
  <CharactersWithSpaces>5042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