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4"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May 22, 2002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649" w:right="1440" w:bottom="1440" w:gutter="0" w:footer="0" w:header="0"/>
          <w:type w:val="continuous"/>
        </w:sectPr>
      </w:pPr>
    </w:p>
    <w:p>
      <w:pPr>
        <w:spacing w:after="0" w:line="22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WATSCO,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8"/>
          <w:szCs w:val="18"/>
          <w:color w:val="auto"/>
        </w:rPr>
        <w:t>1-5581</w:t>
      </w:r>
    </w:p>
    <w:p>
      <w:pPr>
        <w:spacing w:after="0" w:line="4"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left="420"/>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59-0778222</w:t>
      </w:r>
    </w:p>
    <w:p>
      <w:pPr>
        <w:spacing w:after="0" w:line="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(IRS Employer Identification No.)</w:t>
      </w:r>
    </w:p>
    <w:p>
      <w:pPr>
        <w:spacing w:after="0" w:line="216" w:lineRule="exact"/>
        <w:rPr>
          <w:sz w:val="24"/>
          <w:szCs w:val="24"/>
          <w:color w:val="auto"/>
        </w:rPr>
      </w:pPr>
    </w:p>
    <w:p>
      <w:pPr>
        <w:sectPr>
          <w:pgSz w:w="11900" w:h="16838" w:orient="portrait"/>
          <w:cols w:equalWidth="0" w:num="2">
            <w:col w:w="3820" w:space="720"/>
            <w:col w:w="5679"/>
          </w:cols>
          <w:pgMar w:left="240" w:top="649" w:right="1440" w:bottom="1440" w:gutter="0" w:footer="0" w:header="0"/>
          <w:type w:val="continuous"/>
        </w:sectPr>
      </w:pPr>
    </w:p>
    <w:p>
      <w:pPr>
        <w:spacing w:after="0" w:line="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2665 South Bayshore Drive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Suite 901</w:t>
      </w:r>
    </w:p>
    <w:p>
      <w:pPr>
        <w:jc w:val="center"/>
        <w:ind w:right="1999"/>
        <w:spacing w:after="0"/>
        <w:rPr>
          <w:sz w:val="20"/>
          <w:szCs w:val="20"/>
          <w:color w:val="auto"/>
        </w:rPr>
      </w:pPr>
      <w:r>
        <w:rPr>
          <w:rFonts w:ascii="Courier New" w:cs="Courier New" w:eastAsia="Courier New" w:hAnsi="Courier New"/>
          <w:sz w:val="18"/>
          <w:szCs w:val="18"/>
          <w:color w:val="auto"/>
        </w:rPr>
        <w:t>Coconut Grove, Florida 33133</w:t>
      </w:r>
    </w:p>
    <w:p>
      <w:pPr>
        <w:spacing w:after="0" w:line="3"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Including Zip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(305) 714-4100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649" w:right="1440" w:bottom="1440" w:gutter="0" w:footer="0" w:header="0"/>
          <w:type w:val="continuous"/>
        </w:sectPr>
      </w:pPr>
    </w:p>
    <w:p>
      <w:pPr>
        <w:spacing w:after="0" w:line="22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22, 2002, the Board of Directors of Watsco, Inc., a Florida corporation (the "Company" or "Registrant") and its Audit Committee dismissed Arthur Andersen LLP ("Andersen") as the Company's independent public accountants and engaged Ernst &amp; Young, LLP ("E&amp;Y") to serve as the Company's independent public accountants for the fiscal year 2002.</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Andersen's reports on the Company's financial statements for the fiscal years ended 2001 and 2000, did not contain an adverse opinion or a disclaimer of opinion, nor were they qualified as to uncertainty, audit scope or accounting principles.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years ended December 31, 2001 and 2000, and the interim period between December 2001 and the date of this Form 8-K, there were no disagreements between the Company and Andersen on any matters of accounting principles or practices, financial statement disclosure, or auditing scope or procedure, which, if not resolved to Andersen's satisfaction, would have caused it to make a reference to the subject matter of the disagreements in connection with their reports on the Company's consolidated financial statements for such years; and there were no reportable events as defined in Item 304 (a)(1)(v) of Regulation S-K.</w:t>
      </w:r>
    </w:p>
    <w:p>
      <w:pPr>
        <w:spacing w:after="0" w:line="214"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has provided Andersen with a copy of the foregoing disclosures. Attached as Exhibit 16.1 is a copy of Andersen's letter, dated May 29, 2002, stating its agreement with such statements.</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During the years ended December 31, 2001 and 2000 and through the date of this Form 8-K, the Company did not consult E&amp;Y with respect to the application of accounting principles to a specified transaction, either completed or proposed, or the type of audit opinion that might be rendered on the Company's consolidated financial statements, or any other matters or reportable events as set forth in items 304 (a)(2)(i) and (ii) of Regulation S-K.</w:t>
      </w:r>
    </w:p>
    <w:p>
      <w:pPr>
        <w:spacing w:after="0" w:line="1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will be filed as an exhibit to this report:</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Exhibit</w:t>
      </w:r>
    </w:p>
    <w:p>
      <w:pPr>
        <w:ind w:left="420"/>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800" w:space="320"/>
            <w:col w:w="8099"/>
          </w:cols>
          <w:pgMar w:left="240" w:top="717" w:right="1440" w:bottom="1440" w:gutter="0" w:footer="0" w:header="0"/>
          <w:type w:val="continuous"/>
        </w:sectPr>
      </w:pPr>
    </w:p>
    <w:p>
      <w:pPr>
        <w:spacing w:after="0" w:line="24" w:lineRule="exact"/>
        <w:rPr>
          <w:sz w:val="20"/>
          <w:szCs w:val="20"/>
          <w:color w:val="auto"/>
        </w:rPr>
      </w:pPr>
    </w:p>
    <w:p>
      <w:pPr>
        <w:jc w:val="both"/>
        <w:ind w:left="1900" w:right="1779" w:hanging="1474"/>
        <w:spacing w:after="0" w:line="236" w:lineRule="auto"/>
        <w:tabs>
          <w:tab w:leader="none" w:pos="1880" w:val="left"/>
        </w:tabs>
        <w:rPr>
          <w:sz w:val="20"/>
          <w:szCs w:val="20"/>
          <w:color w:val="auto"/>
        </w:rPr>
      </w:pPr>
      <w:r>
        <w:rPr>
          <w:rFonts w:ascii="Courier New" w:cs="Courier New" w:eastAsia="Courier New" w:hAnsi="Courier New"/>
          <w:sz w:val="18"/>
          <w:szCs w:val="18"/>
          <w:color w:val="auto"/>
        </w:rPr>
        <w:t>16.1</w:t>
      </w:r>
      <w:r>
        <w:rPr>
          <w:sz w:val="20"/>
          <w:szCs w:val="20"/>
          <w:color w:val="auto"/>
        </w:rPr>
        <w:tab/>
      </w:r>
      <w:r>
        <w:rPr>
          <w:rFonts w:ascii="Courier New" w:cs="Courier New" w:eastAsia="Courier New" w:hAnsi="Courier New"/>
          <w:sz w:val="18"/>
          <w:szCs w:val="18"/>
          <w:color w:val="auto"/>
        </w:rPr>
        <w:t>Letter from Arthur Andersen LLP to the Securities and Exchange Commission regarding the change in certifying accountant dated May 29, 2002.</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WATSCO,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May 29,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Barry S. Logan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Barry S. Logan, Vice President</w:t>
      </w:r>
    </w:p>
    <w:p>
      <w:pPr>
        <w:sectPr>
          <w:pgSz w:w="11900" w:h="16838" w:orient="portrait"/>
          <w:cols w:equalWidth="0" w:num="2">
            <w:col w:w="4140" w:space="720"/>
            <w:col w:w="535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29,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 of the Chief Accountant</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We have read the second and third paragraphs of Item 4 included in the Form 8-K dated May 29, 2002, of Watsco, Inc. to be filed with the Securities and Exchange Commission and are in agreement with the statements contained therein.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2019-12-13T08:01:14Z</dcterms:created>
  <dcterms:modified xsi:type="dcterms:W3CDTF">2019-12-13T08:01:14Z</dcterms:modified>
</cp:coreProperties>
</file>