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so-20260912.htm"/>
      <w:bookmarkStart w:id="1" w:name="kswso2026091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2"/>
        </w:rPr>
        <w:t>UNITED STATES</w:t>
        <w:br/>
        <w:t>SECURITIES AND EXCHANGE COMMISSION</w:t>
      </w:r>
      <w:r>
        <w:rPr>
          <w:rFonts w:ascii="Times New Roman" w:hAnsi="Times New Roman"/>
          <w:b/>
          <w:color w:val="000000"/>
          <w:sz w:val="36"/>
        </w:rPr>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8-K/A</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(Amendment No. 1)</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12, 2026</w:t>
            </w:r>
          </w:p>
        </w:tc>
      </w:tr>
    </w:tbl>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WATSCO,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1-5581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59-0778222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2665 South Bayshore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901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(305)</w:t>
            </w:r>
            <w:r>
              <w:rPr>
                <w:rFonts w:ascii="Times New Roman" w:hAnsi="Times New Roman"/>
                <w:color w:val="000000"/>
                <w:sz w:val="20"/>
              </w:rPr>
              <w:t xml:space="preserve"> </w:t>
            </w:r>
            <w:r>
              <w:rPr>
                <w:rFonts w:ascii="Times New Roman" w:hAnsi="Times New Roman"/>
                <w:b/>
                <w:color w:val="000000"/>
                <w:sz w:val="20"/>
              </w:rPr>
              <w:t>714-4100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260" w:type="dxa"/>
        <w:jc w:val="left"/>
        <w:tblInd w:w="0" w:type="dxa"/>
        <w:tblLayout w:type="fixed"/>
        <w:tblCellMar>
          <w:top w:w="28" w:type="dxa"/>
          <w:left w:w="28" w:type="dxa"/>
          <w:bottom w:w="28" w:type="dxa"/>
          <w:right w:w="28" w:type="dxa"/>
        </w:tblCellMar>
      </w:tblPr>
      <w:tblGrid>
        <w:gridCol w:w="3316"/>
        <w:gridCol w:w="146"/>
        <w:gridCol w:w="826"/>
        <w:gridCol w:w="146"/>
        <w:gridCol w:w="382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B 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72" w:after="72"/>
        <w:jc w:val="both"/>
        <w:rPr>
          <w:rFonts w:ascii="Times New Roman" w:hAnsi="Times New Roman"/>
          <w:sz w:val="20"/>
        </w:rPr>
      </w:pPr>
      <w:r>
        <w:rPr>
          <w:rFonts w:ascii="Times New Roman" w:hAnsi="Times New Roman"/>
          <w:color w:val="000000"/>
          <w:sz w:val="20"/>
        </w:rPr>
        <w:t>This Current Report on Form 8-K/A (this “</w:t>
      </w:r>
      <w:r>
        <w:rPr>
          <w:rFonts w:ascii="Times New Roman" w:hAnsi="Times New Roman"/>
          <w:color w:val="000000"/>
          <w:sz w:val="20"/>
          <w:u w:val="single"/>
        </w:rPr>
        <w:t>Amendment</w:t>
      </w:r>
      <w:r>
        <w:rPr>
          <w:rFonts w:ascii="Times New Roman" w:hAnsi="Times New Roman"/>
          <w:color w:val="000000"/>
          <w:sz w:val="20"/>
        </w:rPr>
        <w:t>”) is being filed as an amendment to the Current Report on Form 8-K filed by Watsco, Inc., a Florida corporation (the “</w:t>
      </w:r>
      <w:r>
        <w:rPr>
          <w:rFonts w:ascii="Times New Roman" w:hAnsi="Times New Roman"/>
          <w:color w:val="000000"/>
          <w:sz w:val="20"/>
          <w:u w:val="single"/>
        </w:rPr>
        <w:t>Company</w:t>
      </w:r>
      <w:r>
        <w:rPr>
          <w:rFonts w:ascii="Times New Roman" w:hAnsi="Times New Roman"/>
          <w:color w:val="000000"/>
          <w:sz w:val="20"/>
        </w:rPr>
        <w:t>”), with the Securities and Exchange Commission on September 17, 2026 (the “</w:t>
      </w:r>
      <w:r>
        <w:rPr>
          <w:rFonts w:ascii="Times New Roman" w:hAnsi="Times New Roman"/>
          <w:color w:val="000000"/>
          <w:sz w:val="20"/>
          <w:u w:val="single"/>
        </w:rPr>
        <w:t>Original Form 8-K</w:t>
      </w:r>
      <w:r>
        <w:rPr>
          <w:rFonts w:ascii="Times New Roman" w:hAnsi="Times New Roman"/>
          <w:color w:val="000000"/>
          <w:sz w:val="20"/>
        </w:rPr>
        <w:t xml:space="preserve">”). As previously reported in the Original Form 8-K, the Company disclosed an estimated number of Consideration Shares to be issued at the Closing of the Mergers (as such terms are defined in the Original Form 8-K and below), and this Amendment is being filed to update the disclosure contained in Item 3.02 of the Original Form 8-K solely to provide the precise number of Consideration Shares issued at Closing, which occurred on October 9, 2026. Except as set forth in this Amendment, the disclosure contained in the Original Form 8-K remains unchanged. </w:t>
      </w:r>
    </w:p>
    <w:p>
      <w:pPr>
        <w:pStyle w:val="TextBody"/>
        <w:bidi w:val="0"/>
        <w:spacing w:before="288" w:after="120"/>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jc w:val="both"/>
        <w:rPr>
          <w:rFonts w:ascii="Times New Roman" w:hAnsi="Times New Roman"/>
          <w:sz w:val="20"/>
        </w:rPr>
      </w:pPr>
      <w:r>
        <w:rPr>
          <w:rFonts w:ascii="Times New Roman" w:hAnsi="Times New Roman"/>
          <w:color w:val="000000"/>
          <w:sz w:val="20"/>
        </w:rPr>
        <w:t>On September 12, 2026, Watsco, Inc., a Florida corporation (the “</w:t>
      </w:r>
      <w:r>
        <w:rPr>
          <w:rFonts w:ascii="Times New Roman" w:hAnsi="Times New Roman"/>
          <w:color w:val="000000"/>
          <w:sz w:val="20"/>
          <w:u w:val="single"/>
        </w:rPr>
        <w:t>Company</w:t>
      </w:r>
      <w:r>
        <w:rPr>
          <w:rFonts w:ascii="Times New Roman" w:hAnsi="Times New Roman"/>
          <w:color w:val="000000"/>
          <w:sz w:val="20"/>
        </w:rPr>
        <w:t>”), entered into an agreement and plan of merger (the “</w:t>
      </w:r>
      <w:r>
        <w:rPr>
          <w:rFonts w:ascii="Times New Roman" w:hAnsi="Times New Roman"/>
          <w:color w:val="000000"/>
          <w:sz w:val="20"/>
          <w:u w:val="single"/>
        </w:rPr>
        <w:t>Merger Agreement</w:t>
      </w:r>
      <w:r>
        <w:rPr>
          <w:rFonts w:ascii="Times New Roman" w:hAnsi="Times New Roman"/>
          <w:color w:val="000000"/>
          <w:sz w:val="20"/>
        </w:rPr>
        <w:t>”) together with GGH Cornerstone Acquisition Corp. (“</w:t>
      </w:r>
      <w:r>
        <w:rPr>
          <w:rFonts w:ascii="Times New Roman" w:hAnsi="Times New Roman"/>
          <w:color w:val="000000"/>
          <w:sz w:val="20"/>
          <w:u w:val="single"/>
        </w:rPr>
        <w:t>Merger Sub 1</w:t>
      </w:r>
      <w:r>
        <w:rPr>
          <w:rFonts w:ascii="Times New Roman" w:hAnsi="Times New Roman"/>
          <w:color w:val="000000"/>
          <w:sz w:val="20"/>
        </w:rPr>
        <w:t>”), Cornerstone Acquisition GGH LLC (“</w:t>
      </w:r>
      <w:r>
        <w:rPr>
          <w:rFonts w:ascii="Times New Roman" w:hAnsi="Times New Roman"/>
          <w:color w:val="000000"/>
          <w:sz w:val="20"/>
          <w:u w:val="single"/>
        </w:rPr>
        <w:t>Merger Sub 2</w:t>
      </w:r>
      <w:r>
        <w:rPr>
          <w:rFonts w:ascii="Times New Roman" w:hAnsi="Times New Roman"/>
          <w:color w:val="000000"/>
          <w:sz w:val="20"/>
        </w:rPr>
        <w:t>”), BBH Granite Buyer, Inc. (“</w:t>
      </w:r>
      <w:r>
        <w:rPr>
          <w:rFonts w:ascii="Times New Roman" w:hAnsi="Times New Roman"/>
          <w:color w:val="000000"/>
          <w:sz w:val="20"/>
          <w:u w:val="single"/>
        </w:rPr>
        <w:t>BBHGB</w:t>
      </w:r>
      <w:r>
        <w:rPr>
          <w:rFonts w:ascii="Times New Roman" w:hAnsi="Times New Roman"/>
          <w:color w:val="000000"/>
          <w:sz w:val="20"/>
        </w:rPr>
        <w:t>”), Granite Group Holdings LLC (“</w:t>
      </w:r>
      <w:r>
        <w:rPr>
          <w:rFonts w:ascii="Times New Roman" w:hAnsi="Times New Roman"/>
          <w:color w:val="000000"/>
          <w:sz w:val="20"/>
          <w:u w:val="single"/>
        </w:rPr>
        <w:t>Granite Group Holdings</w:t>
      </w:r>
      <w:r>
        <w:rPr>
          <w:rFonts w:ascii="Times New Roman" w:hAnsi="Times New Roman"/>
          <w:color w:val="000000"/>
          <w:sz w:val="20"/>
        </w:rPr>
        <w:t>”) and, together with BBHGB, (the “</w:t>
      </w:r>
      <w:r>
        <w:rPr>
          <w:rFonts w:ascii="Times New Roman" w:hAnsi="Times New Roman"/>
          <w:color w:val="000000"/>
          <w:sz w:val="20"/>
          <w:u w:val="single"/>
        </w:rPr>
        <w:t>Surviving Entities</w:t>
      </w:r>
      <w:r>
        <w:rPr>
          <w:rFonts w:ascii="Times New Roman" w:hAnsi="Times New Roman"/>
          <w:color w:val="000000"/>
          <w:sz w:val="20"/>
        </w:rPr>
        <w:t>”), and the sellers’ representative named therein, pursuant to which, Merger Sub 1 will merge with and into BBHGB, and Merger Sub 2 will merge with and into Granite Group Holdings, with BBHGB and Granite Group Holdings surviving the respective mergers (the “</w:t>
      </w:r>
      <w:r>
        <w:rPr>
          <w:rFonts w:ascii="Times New Roman" w:hAnsi="Times New Roman"/>
          <w:color w:val="000000"/>
          <w:sz w:val="20"/>
          <w:u w:val="single"/>
        </w:rPr>
        <w:t>Mergers</w:t>
      </w:r>
      <w:r>
        <w:rPr>
          <w:rFonts w:ascii="Times New Roman" w:hAnsi="Times New Roman"/>
          <w:color w:val="000000"/>
          <w:sz w:val="20"/>
        </w:rPr>
        <w:t>”) as wholly owned subsidiaries of the Company. Granite Group Holdings is a diversified distributor of plumbing and HVAC products with approximately $500 million in sales throughout seven states in the Northeast.</w:t>
      </w:r>
    </w:p>
    <w:p>
      <w:pPr>
        <w:pStyle w:val="TextBody"/>
        <w:bidi w:val="0"/>
        <w:jc w:val="both"/>
        <w:rPr>
          <w:rFonts w:ascii="Times New Roman" w:hAnsi="Times New Roman"/>
          <w:sz w:val="20"/>
        </w:rPr>
      </w:pPr>
      <w:r>
        <w:rPr>
          <w:rFonts w:ascii="Times New Roman" w:hAnsi="Times New Roman"/>
          <w:color w:val="000000"/>
          <w:sz w:val="20"/>
        </w:rPr>
        <w:t>Pursuant to the Merger Agreement and upon consummation of the Mergers (the “</w:t>
      </w:r>
      <w:r>
        <w:rPr>
          <w:rFonts w:ascii="Times New Roman" w:hAnsi="Times New Roman"/>
          <w:color w:val="000000"/>
          <w:sz w:val="20"/>
          <w:u w:val="single"/>
        </w:rPr>
        <w:t>Closing</w:t>
      </w:r>
      <w:r>
        <w:rPr>
          <w:rFonts w:ascii="Times New Roman" w:hAnsi="Times New Roman"/>
          <w:color w:val="000000"/>
          <w:sz w:val="20"/>
        </w:rPr>
        <w:t>”), the Company has agreed to pay aggregate consideration in an amount equal to $505.0 million, subject to a customary post-closing purchase price adjustment (as adjusted, the “</w:t>
      </w:r>
      <w:r>
        <w:rPr>
          <w:rFonts w:ascii="Times New Roman" w:hAnsi="Times New Roman"/>
          <w:color w:val="000000"/>
          <w:sz w:val="20"/>
          <w:u w:val="single"/>
        </w:rPr>
        <w:t>Purchase Price</w:t>
      </w:r>
      <w:r>
        <w:rPr>
          <w:rFonts w:ascii="Times New Roman" w:hAnsi="Times New Roman"/>
          <w:color w:val="000000"/>
          <w:sz w:val="20"/>
        </w:rPr>
        <w:t>”). Pursuant to the Merger Agreement, at Closing, the Company will pay 80% of the Purchase Price in cash and 20% shares of the Company’s Common stock, par value $0.50 per share (“</w:t>
      </w:r>
      <w:r>
        <w:rPr>
          <w:rFonts w:ascii="Times New Roman" w:hAnsi="Times New Roman"/>
          <w:color w:val="000000"/>
          <w:sz w:val="20"/>
          <w:u w:val="single"/>
        </w:rPr>
        <w:t>Common Stock</w:t>
      </w:r>
      <w:r>
        <w:rPr>
          <w:rFonts w:ascii="Times New Roman" w:hAnsi="Times New Roman"/>
          <w:color w:val="000000"/>
          <w:sz w:val="20"/>
        </w:rPr>
        <w:t>”). The number of shares issued shall equal 20% of the Purchase Price divided by the daily volume-weighted average price of the Common Stock on the New York Stock Exchange for the ten most recent trading days immediately preceding the Closing (the “</w:t>
      </w:r>
      <w:r>
        <w:rPr>
          <w:rFonts w:ascii="Times New Roman" w:hAnsi="Times New Roman"/>
          <w:color w:val="000000"/>
          <w:sz w:val="20"/>
          <w:u w:val="single"/>
        </w:rPr>
        <w:t>Consideration Shares</w:t>
      </w:r>
      <w:r>
        <w:rPr>
          <w:rFonts w:ascii="Times New Roman" w:hAnsi="Times New Roman"/>
          <w:color w:val="000000"/>
          <w:sz w:val="20"/>
        </w:rPr>
        <w:t xml:space="preserve">”). Closing of the transaction is subject to the satisfaction or waiver of customary closing conditions, including the accuracy of the parties’ respective representations and warranties, the performance in all material respects of the parties’ respective covenants under the Merger Agreement and the termination or expiration of the applicable waiting period under the Hart-Scott-Rodino Antitrust Improvements Act of 1976, as amended. </w:t>
      </w:r>
    </w:p>
    <w:p>
      <w:pPr>
        <w:pStyle w:val="TextBody"/>
        <w:bidi w:val="0"/>
        <w:jc w:val="both"/>
        <w:rPr>
          <w:rFonts w:ascii="Times New Roman" w:hAnsi="Times New Roman"/>
          <w:color w:val="000000"/>
          <w:sz w:val="20"/>
        </w:rPr>
      </w:pPr>
      <w:r>
        <w:rPr>
          <w:rFonts w:ascii="Times New Roman" w:hAnsi="Times New Roman"/>
          <w:color w:val="000000"/>
          <w:sz w:val="20"/>
        </w:rPr>
        <w:t xml:space="preserve">The Closing occurred on October 9, 2026, and the Company issued an aggregate of 338,176 Consideration Shares. </w:t>
      </w:r>
    </w:p>
    <w:p>
      <w:pPr>
        <w:pStyle w:val="TextBody"/>
        <w:bidi w:val="0"/>
        <w:jc w:val="both"/>
        <w:rPr>
          <w:rFonts w:ascii="Times New Roman" w:hAnsi="Times New Roman"/>
          <w:sz w:val="20"/>
        </w:rPr>
      </w:pPr>
      <w:r>
        <w:rPr>
          <w:rFonts w:ascii="Times New Roman" w:hAnsi="Times New Roman"/>
          <w:color w:val="000000"/>
          <w:sz w:val="20"/>
        </w:rPr>
        <w:t>The Consideration Shares have not been registered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and the Company offered the Consideration Shares in reliance upon the exemption from registration contained in Section 4(a)(2) of the Securities Act and rule 506(b) of Regulation D promulgated thereunder. Among other things, the applicable parties to the Merger Agreement represented to the Company that all securityholders entitled to vote on the Mergers are “accredited investors” as defined in Rule 501(a) under the Securities Act.</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34" w:type="dxa"/>
        <w:jc w:val="left"/>
        <w:tblInd w:w="0" w:type="dxa"/>
        <w:tblLayout w:type="fixed"/>
        <w:tblCellMar>
          <w:top w:w="28" w:type="dxa"/>
          <w:left w:w="28" w:type="dxa"/>
          <w:bottom w:w="28" w:type="dxa"/>
          <w:right w:w="28" w:type="dxa"/>
        </w:tblCellMar>
      </w:tblPr>
      <w:tblGrid>
        <w:gridCol w:w="556"/>
        <w:gridCol w:w="151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WATSCO,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Ana M. Menendez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86"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Ana M. Menendez,</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913</Words>
  <Characters>5024</Characters>
  <CharactersWithSpaces>5937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