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Nahmad Aaron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2665 S. BAYSHORE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WATSCO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WSO; WSOB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924"/>
        <w:gridCol w:w="446"/>
        <w:gridCol w:w="751"/>
        <w:gridCol w:w="1150"/>
        <w:gridCol w:w="988"/>
        <w:gridCol w:w="10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16,078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279.9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16,078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906"/>
      </w:tblGrid>
      <w:tr>
        <w:trPr>
          <w:tblHeader w:val="true"/>
        </w:trPr>
        <w:tc>
          <w:tcPr>
            <w:tcW w:w="121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64,237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64,237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305,993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305,993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Ownership in Watsco, Inc. Profit Sharing Retirement Plan and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of stock pursuant to Watsco, Inc. Restricted Stock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Class B Common Stock is convertible into Common Stock at any time on a one-for-one basis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117 and 165 shares acquired on April 30, 2026 and July 31, 2026, respectively, under the Watsco Inc. Dividend Reinvestment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shares held by custodial accounts for Mr. Nahmad's children, of which Mr. Nahmad is the custodian.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J. Nahmad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6535" TargetMode="External"/><Relationship Id="rId5" Type="http://schemas.openxmlformats.org/officeDocument/2006/relationships/hyperlink" Target="http://www.sec.gov/cgi-bin/browse-edgar?action=getcompany&amp;CIK=0000105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3738</Characters>
  <CharactersWithSpaces>4339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