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800100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WATSCO,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0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1-5581</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2665 South Bayshore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901</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714-4100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$0.50 par value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$0.50 par value</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22" w:right="1099" w:bottom="39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170815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21, 2026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Watsco,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unsecured, five-year $750.0 million syndicated multicurrency credit agreement (the “</w:t>
      </w:r>
      <w:r>
        <w:rPr>
          <w:rFonts w:ascii="Times New Roman" w:cs="Times New Roman" w:eastAsia="Times New Roman" w:hAnsi="Times New Roman"/>
          <w:sz w:val="18"/>
          <w:szCs w:val="18"/>
          <w:u w:val="single" w:color="auto"/>
          <w:color w:val="auto"/>
        </w:rPr>
        <w:t>New Credit Facility</w:t>
      </w:r>
      <w:r>
        <w:rPr>
          <w:rFonts w:ascii="Times New Roman" w:cs="Times New Roman" w:eastAsia="Times New Roman" w:hAnsi="Times New Roman"/>
          <w:sz w:val="18"/>
          <w:szCs w:val="18"/>
          <w:color w:val="auto"/>
        </w:rPr>
        <w:t>”) with a syndicate of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Swing Line Lender and L/C Issuer.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Credit Facility replaces in its entirety the Company’s unsecured $600.0 million revolving credit facility, entered into as of March 16, 2023 (the “</w:t>
      </w:r>
      <w:r>
        <w:rPr>
          <w:rFonts w:ascii="Times New Roman" w:cs="Times New Roman" w:eastAsia="Times New Roman" w:hAnsi="Times New Roman"/>
          <w:sz w:val="18"/>
          <w:szCs w:val="18"/>
          <w:u w:val="single" w:color="auto"/>
          <w:color w:val="auto"/>
        </w:rPr>
        <w:t>Prior Credit Facility</w:t>
      </w:r>
      <w:r>
        <w:rPr>
          <w:rFonts w:ascii="Times New Roman" w:cs="Times New Roman" w:eastAsia="Times New Roman" w:hAnsi="Times New Roman"/>
          <w:sz w:val="18"/>
          <w:szCs w:val="18"/>
          <w:color w:val="auto"/>
        </w:rPr>
        <w:t>”). On the Closing Date, the Company borrowed $69.7 million under the New Credit Facility, the proceeds of which were used to repay outstanding borrowings under the Prior Credit Facility. Any additional borrowings under the New Credit Facility may be used for, among other things, funding seasonal working capital needs and other general corporate purposes, including acquisitions, dividends, capital expenditures, stock repurchases and issuances of letters of credit.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New Credit Facility also provide for a $125.0 million swing line loan sublimit, a $10.0 million letter of credit sublimit, and a $150.0 million borrowing sublimit for multicurrency borrowings in Euros, Pounds Sterling and Canadian Dollars. As of the Closing Date, $69.7 million of borrowings were outstanding under the New Credit Facility. The New Credit Facility additionally provides for a seasonal period from September 1 to March 1 of each calendar year, during which the Company may elect in its discretion to reduce borrowing capacity by $100.0 million, $200.0 million, or $300.0 million. Additionally, the New Credit Facility permits up to $375.0 million of incremental revolving increases or term loans, with up to six requests.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New Credit Facility accrue interest at different rates depending on the types of advances or loans the Company selects. At the Company’s election, borrowings under the New Credit Facility bear interest either at Term SOFR or Daily Simple SOFR-based rates plus a spread that ranges from 100.0 to 137.5 basis-points (100.0 basis-points as of the Closing Date), depending upon the loan type and the Company’s ratio of total debt to EBITDA, or, for U.S. dollar-denominated loans only, rates based on the highest of (i) the Federal Funds Rate plus 0.5%, (ii) the prime rate announced by the Administrative Agent, (iii) one-month Term SOFR plus 1.0%, and (iv) 1.0%, in each case plus a spread that ranges from 0 to 50 basis-points (0 basis-points as of the Closing Date), depending upon the Company’s ratio of total debt to EBITDA. The Company pays a variable commitment fee on the unused portion of the commitment under the New Credit Facility, ranging from 10.0 to 17.5 basis-points (10.0 basis-points as of the Closing Date).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outstanding balance under the New Credit Facility may be prepaid at any time without premium or penalty. The New Credit Facility contains customary affirmative and negative covenants, including two financial covenants with respect to the Company’s consolidated leverage and interest coverage ratios, and other customary restrictions. Additionally, the New Credit Facility contains customary events of default and remedies upon an event of default, including termination of the commitments of the Lenders and the acceleration of repayment of outstanding amounts under the New Credit Facility.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and payment obligations under the New Credit Facility are guaranteed by substantially all of the Company’s wholly owned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New Credit Facility is only a summary and is qualified in its entirety by reference to the complete text of the New Credit Facility, which is attached as Exhibit 10.1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Prior Credit Facility is incorporated by reference in this Item 1.02.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in connection with entering into the New Credit Facility, the Prior Credit Facility terminated. The Company borrowed $69.7 million under the New Credit Facility, the proceeds of which were used to repay outstanding borrowings under the Prior Credit Facility. Additionally, under the terms of the New Credit Facility, a $150,000 letter of credit outstanding under the Prior Credit Facility will remain outstanding in accordance with its existing terms and reduce the availability under the New Credit Facility by the amount of such letter of credit. The New Credit Facility matures on October 21, 2031.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no penalties in connection with the termination of the Prior Credit Facility. The material terms of the Prior Credit Facility are described in the Company’s 2025 Annual Report to Shareholders under “Management’s Discussion and Analysis of Financial Condition and Results of Operations—Liquidity and Capital Resources—Revolving Credit Agreement”, filed as Exhibit 13 to the Company’s Annual Report on Form 10-K filed with the Securities and Exchange Commission on February 27, 2026, and such description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1144270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3" w:name="page4"/>
    <w:bookmarkEnd w:id="3"/>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and Item 1.02 of this Current Report on Form 8-K is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gridSpan w:val="4"/>
          </w:tcPr>
          <w:p>
            <w:pPr>
              <w:ind w:left="3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Credit Agreement, dated as of October 21, 2026, by and among Watsco, Inc., Bank of America, N.A., as</w:t>
            </w:r>
          </w:p>
        </w:tc>
      </w:tr>
      <w:tr>
        <w:trPr>
          <w:trHeight w:val="196"/>
        </w:trPr>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68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Administrative Agent, Swing Line Lender and L/C Issuer, and the other Lenders party thereto.</w:t>
            </w:r>
          </w:p>
        </w:tc>
        <w:tc>
          <w:tcPr>
            <w:tcW w:w="20" w:type="dxa"/>
            <w:vAlign w:val="bottom"/>
            <w:tcBorders>
              <w:top w:val="single" w:sz="8" w:color="0000FF"/>
              <w:bottom w:val="single" w:sz="8" w:color="0000EE"/>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ind w:left="1580" w:hanging="926"/>
        <w:spacing w:after="0"/>
        <w:tabs>
          <w:tab w:leader="none" w:pos="1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601(a)(5) of Regulation S-K, schedules and similar attachments to this exhibit have been omitted because they do not contain information material to an investment or voting decision and such information is not otherwise disclosed in such exhibit. The Company will supplementally provide a copy of any omitted schedule or similar attachment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1004570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WATSCO,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October 27, 2026</w:t>
      </w:r>
      <w:r>
        <w:rPr>
          <w:sz w:val="20"/>
          <w:szCs w:val="20"/>
          <w:color w:val="auto"/>
        </w:rPr>
        <w:tab/>
      </w:r>
      <w:r>
        <w:rPr>
          <w:rFonts w:ascii="Times New Roman" w:cs="Times New Roman" w:eastAsia="Times New Roman" w:hAnsi="Times New Roman"/>
          <w:sz w:val="18"/>
          <w:szCs w:val="18"/>
          <w:color w:val="auto"/>
        </w:rPr>
        <w:t>By:  /s/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294005</wp:posOffset>
            </wp:positionV>
            <wp:extent cx="617220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Published CUSIP Number: 94262PAN0</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Published Revolver CUSIP Number: 94262PAP5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3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Dated as of October 21, 2026</w:t>
      </w:r>
    </w:p>
    <w:p>
      <w:pPr>
        <w:spacing w:after="0" w:line="3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among</w:t>
      </w:r>
    </w:p>
    <w:p>
      <w:pPr>
        <w:spacing w:after="0" w:line="3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WATSCO, INC.</w:t>
      </w:r>
    </w:p>
    <w:p>
      <w:pPr>
        <w:spacing w:after="0" w:line="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and</w:t>
      </w: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CERTAIN SUBSIDIARIES</w:t>
      </w:r>
      <w:r>
        <w:rPr>
          <w:rFonts w:ascii="Times New Roman" w:cs="Times New Roman" w:eastAsia="Times New Roman" w:hAnsi="Times New Roman"/>
          <w:sz w:val="20"/>
          <w:szCs w:val="20"/>
          <w:color w:val="auto"/>
        </w:rPr>
        <w:t>,</w:t>
      </w:r>
    </w:p>
    <w:p>
      <w:pPr>
        <w:jc w:val="center"/>
        <w:ind w:right="340"/>
        <w:spacing w:after="0"/>
        <w:rPr>
          <w:sz w:val="20"/>
          <w:szCs w:val="20"/>
          <w:color w:val="auto"/>
        </w:rPr>
      </w:pPr>
      <w:r>
        <w:rPr>
          <w:rFonts w:ascii="Times New Roman" w:cs="Times New Roman" w:eastAsia="Times New Roman" w:hAnsi="Times New Roman"/>
          <w:sz w:val="20"/>
          <w:szCs w:val="20"/>
          <w:color w:val="auto"/>
        </w:rPr>
        <w:t>as Borrowers,</w:t>
      </w:r>
    </w:p>
    <w:p>
      <w:pPr>
        <w:spacing w:after="0" w:line="2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as Administrative Agent, Swing Line Lender and an L/C Issuer,</w:t>
      </w:r>
    </w:p>
    <w:p>
      <w:pPr>
        <w:spacing w:after="0" w:line="3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and</w:t>
      </w:r>
    </w:p>
    <w:p>
      <w:pPr>
        <w:spacing w:after="0" w:line="3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THE OTHER LENDERS PARTY HERETO</w:t>
      </w:r>
    </w:p>
    <w:p>
      <w:pPr>
        <w:spacing w:after="0" w:line="3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w:t>
      </w:r>
    </w:p>
    <w:p>
      <w:pPr>
        <w:jc w:val="center"/>
        <w:ind w:right="400"/>
        <w:spacing w:after="0"/>
        <w:rPr>
          <w:sz w:val="20"/>
          <w:szCs w:val="20"/>
          <w:color w:val="auto"/>
        </w:rPr>
      </w:pPr>
      <w:r>
        <w:rPr>
          <w:rFonts w:ascii="Times New Roman" w:cs="Times New Roman" w:eastAsia="Times New Roman" w:hAnsi="Times New Roman"/>
          <w:sz w:val="20"/>
          <w:szCs w:val="20"/>
          <w:color w:val="auto"/>
        </w:rPr>
        <w:t>and</w:t>
      </w: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p>
    <w:p>
      <w:pPr>
        <w:jc w:val="center"/>
        <w:ind w:right="34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ind w:left="3060"/>
        <w:spacing w:after="0"/>
        <w:rPr>
          <w:sz w:val="20"/>
          <w:szCs w:val="20"/>
          <w:color w:val="auto"/>
        </w:rPr>
      </w:pPr>
      <w:r>
        <w:rPr>
          <w:rFonts w:ascii="Times New Roman" w:cs="Times New Roman" w:eastAsia="Times New Roman" w:hAnsi="Times New Roman"/>
          <w:sz w:val="20"/>
          <w:szCs w:val="20"/>
          <w:b w:val="1"/>
          <w:bCs w:val="1"/>
          <w:color w:val="auto"/>
        </w:rPr>
        <w:t>PNC CAPITAL MARKETS LLC</w:t>
      </w:r>
      <w:r>
        <w:rPr>
          <w:rFonts w:ascii="Times New Roman" w:cs="Times New Roman" w:eastAsia="Times New Roman" w:hAnsi="Times New Roman"/>
          <w:sz w:val="20"/>
          <w:szCs w:val="20"/>
          <w:color w:val="auto"/>
        </w:rPr>
        <w:t>,</w:t>
      </w:r>
    </w:p>
    <w:p>
      <w:pPr>
        <w:ind w:left="272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w:t>
      </w:r>
    </w:p>
    <w:p>
      <w:pPr>
        <w:ind w:left="4340"/>
        <w:spacing w:after="0"/>
        <w:rPr>
          <w:sz w:val="20"/>
          <w:szCs w:val="20"/>
          <w:color w:val="auto"/>
        </w:rPr>
      </w:pPr>
      <w:r>
        <w:rPr>
          <w:rFonts w:ascii="Times New Roman" w:cs="Times New Roman" w:eastAsia="Times New Roman" w:hAnsi="Times New Roman"/>
          <w:sz w:val="20"/>
          <w:szCs w:val="20"/>
          <w:color w:val="auto"/>
        </w:rPr>
        <w:t>and</w:t>
      </w:r>
    </w:p>
    <w:p>
      <w:pPr>
        <w:ind w:left="2860"/>
        <w:spacing w:after="0"/>
        <w:rPr>
          <w:sz w:val="20"/>
          <w:szCs w:val="20"/>
          <w:color w:val="auto"/>
        </w:rPr>
      </w:pPr>
      <w:r>
        <w:rPr>
          <w:rFonts w:ascii="Times New Roman" w:cs="Times New Roman" w:eastAsia="Times New Roman" w:hAnsi="Times New Roman"/>
          <w:sz w:val="20"/>
          <w:szCs w:val="20"/>
          <w:b w:val="1"/>
          <w:bCs w:val="1"/>
          <w:color w:val="auto"/>
        </w:rPr>
        <w:t>WELLS FARGO SECURITIES, LLC</w:t>
      </w:r>
      <w:r>
        <w:rPr>
          <w:rFonts w:ascii="Times New Roman" w:cs="Times New Roman" w:eastAsia="Times New Roman" w:hAnsi="Times New Roman"/>
          <w:sz w:val="20"/>
          <w:szCs w:val="20"/>
          <w:color w:val="auto"/>
        </w:rPr>
        <w:t>,</w:t>
      </w:r>
    </w:p>
    <w:p>
      <w:pPr>
        <w:ind w:left="354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29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1127760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300355</wp:posOffset>
            </wp:positionV>
            <wp:extent cx="617220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51435"/>
                    </a:xfrm>
                    <a:prstGeom prst="rect">
                      <a:avLst/>
                    </a:prstGeom>
                    <a:noFill/>
                  </pic:spPr>
                </pic:pic>
              </a:graphicData>
            </a:graphic>
          </wp:anchor>
        </w:drawing>
      </w:r>
    </w:p>
    <w:p>
      <w:pPr>
        <w:sectPr>
          <w:pgSz w:w="11900" w:h="16838" w:orient="portrait"/>
          <w:cols w:equalWidth="0" w:num="1">
            <w:col w:w="9360"/>
          </w:cols>
          <w:pgMar w:left="1440" w:top="765" w:right="1099" w:bottom="1440" w:gutter="0" w:footer="0" w:header="0"/>
        </w:sectPr>
      </w:pPr>
    </w:p>
    <w:bookmarkStart w:id="6" w:name="page7"/>
    <w:bookmarkEnd w:id="6"/>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780" w:type="dxa"/>
            <w:vAlign w:val="bottom"/>
          </w:tcPr>
          <w:p>
            <w:pPr>
              <w:ind w:left="19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380" w:type="dxa"/>
            <w:vAlign w:val="bottom"/>
          </w:tcPr>
          <w:p>
            <w:pPr>
              <w:spacing w:after="0"/>
              <w:rPr>
                <w:sz w:val="22"/>
                <w:szCs w:val="22"/>
                <w:color w:val="auto"/>
              </w:rPr>
            </w:pPr>
          </w:p>
        </w:tc>
      </w:tr>
      <w:tr>
        <w:trPr>
          <w:trHeight w:val="399"/>
        </w:trPr>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Section</w:t>
            </w:r>
          </w:p>
        </w:tc>
        <w:tc>
          <w:tcPr>
            <w:tcW w:w="67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69"/>
        </w:trPr>
        <w:tc>
          <w:tcPr>
            <w:tcW w:w="8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 DEFINITIONS AND ACCOUNTING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Defined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Other Interpretive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Accounting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Rounding</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Exchange Rates; Currency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Additional Alternative Currencies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Change of Currency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1.08</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Times of Day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1.09</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Letter of Credit Amounts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1.10</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Interest Rates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38"/>
        </w:trPr>
        <w:tc>
          <w:tcPr>
            <w:tcW w:w="8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 THE COMMITMENTS AND CREDIT EXTENSIONS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Committed Loans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Borrowings, Conversions and Continuations of Committed Loans</w:t>
            </w: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Letters of Credit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Swing Line Loans</w:t>
            </w: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Prepayments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Termination or Reduction of Commitments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Repayment of Loans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2.08</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2.09</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Fees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05"/>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2.10</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Computation of Interest and Fees; Retroactive Adjustments of Applicable</w:t>
            </w:r>
          </w:p>
        </w:tc>
        <w:tc>
          <w:tcPr>
            <w:tcW w:w="380" w:type="dxa"/>
            <w:vAlign w:val="bottom"/>
          </w:tcPr>
          <w:p>
            <w:pPr>
              <w:spacing w:after="0"/>
              <w:rPr>
                <w:sz w:val="24"/>
                <w:szCs w:val="24"/>
                <w:color w:val="auto"/>
              </w:rPr>
            </w:pPr>
          </w:p>
        </w:tc>
      </w:t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Rate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Evidence of Debt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Payments Generally; Administrative Agent’s Clawback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Sharing of Payments by Lenders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Designated Borrowers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Increase in Commitments.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Cash Collateral.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Defaulting Lenders</w:t>
            </w: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2.18</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Designation of Unrestricted and Restricted 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2.19</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Joint and Several Obligations</w:t>
            </w: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2.20</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Designated Lenders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20"/>
                <w:szCs w:val="20"/>
                <w:b w:val="1"/>
                <w:bCs w:val="1"/>
                <w:color w:val="auto"/>
              </w:rPr>
              <w:t>TABLE OF CONTENTS (continued)</w:t>
            </w:r>
          </w:p>
        </w:tc>
        <w:tc>
          <w:tcPr>
            <w:tcW w:w="380" w:type="dxa"/>
            <w:vAlign w:val="bottom"/>
          </w:tcPr>
          <w:p>
            <w:pPr>
              <w:spacing w:after="0"/>
              <w:rPr>
                <w:sz w:val="22"/>
                <w:szCs w:val="22"/>
                <w:color w:val="auto"/>
              </w:rPr>
            </w:pPr>
          </w:p>
        </w:tc>
      </w:tr>
      <w:tr>
        <w:trPr>
          <w:trHeight w:val="399"/>
        </w:trPr>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Section</w:t>
            </w:r>
          </w:p>
        </w:tc>
        <w:tc>
          <w:tcPr>
            <w:tcW w:w="678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Page</w:t>
            </w:r>
          </w:p>
        </w:tc>
      </w:tr>
      <w:tr>
        <w:trPr>
          <w:trHeight w:val="269"/>
        </w:trPr>
        <w:tc>
          <w:tcPr>
            <w:tcW w:w="8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III. TAXES, YIELD PROTECTION AND ILLEGALITY</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Illegality</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Inability to Determine Rates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Increased Costs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Compensation for Losses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Mitigation Obligations; Replacement of Lenders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3.07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Survival</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r>
      <w:tr>
        <w:trPr>
          <w:trHeight w:val="338"/>
        </w:trPr>
        <w:tc>
          <w:tcPr>
            <w:tcW w:w="8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IV. CONDITIONS PRECEDENT TO CREDIT EXTENSIONS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4.01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Conditions of Initial Credit Extension</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4.02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Conditions to all Credit Extensions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88</w:t>
            </w:r>
          </w:p>
        </w:tc>
      </w:tr>
      <w:tr>
        <w:trPr>
          <w:trHeight w:val="338"/>
        </w:trPr>
        <w:tc>
          <w:tcPr>
            <w:tcW w:w="8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V. REPRESENTATIONS AND WARRANTIES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Existence, Qualification and Power</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Authorization; No Contravention</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Governmental Authorization; Other Consents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Binding Effect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Financial Statements; No Material Adverse Effect</w:t>
            </w:r>
            <w:r>
              <w:rPr>
                <w:rFonts w:ascii="Times New Roman" w:cs="Times New Roman" w:eastAsia="Times New Roman" w:hAnsi="Times New Roman"/>
                <w:sz w:val="20"/>
                <w:szCs w:val="20"/>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Litigation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 Default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5.08</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Ownership of Property; Liens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5.09</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Environmental Compliance</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5.10</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Insurance</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5.11</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5.12</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ERISA Compliance; Canadian Pension Plans</w:t>
            </w:r>
            <w:r>
              <w:rPr>
                <w:rFonts w:ascii="Times New Roman" w:cs="Times New Roman" w:eastAsia="Times New Roman" w:hAnsi="Times New Roman"/>
                <w:sz w:val="20"/>
                <w:szCs w:val="20"/>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5.13</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Principal Places of Business and Subsidiaries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5.14</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Margin Regulations; Investment Company Act</w:t>
            </w:r>
            <w:r>
              <w:rPr>
                <w:rFonts w:ascii="Times New Roman" w:cs="Times New Roman" w:eastAsia="Times New Roman" w:hAnsi="Times New Roman"/>
                <w:sz w:val="20"/>
                <w:szCs w:val="20"/>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5.15</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Disclosure</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5.16</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5.17</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Senior Debt</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5.18</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OFAC</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5.19</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Anti-Corruption Laws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5.20</w:t>
            </w:r>
          </w:p>
        </w:tc>
        <w:tc>
          <w:tcPr>
            <w:tcW w:w="67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Representations as to Foreign Obligors</w:t>
            </w: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94</w:t>
            </w: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720" w:type="dxa"/>
            <w:vAlign w:val="bottom"/>
          </w:tcPr>
          <w:p>
            <w:pPr>
              <w:ind w:left="1320"/>
              <w:spacing w:after="0"/>
              <w:rPr>
                <w:sz w:val="20"/>
                <w:szCs w:val="20"/>
                <w:color w:val="auto"/>
              </w:rPr>
            </w:pPr>
            <w:r>
              <w:rPr>
                <w:rFonts w:ascii="Times New Roman" w:cs="Times New Roman" w:eastAsia="Times New Roman" w:hAnsi="Times New Roman"/>
                <w:sz w:val="20"/>
                <w:szCs w:val="20"/>
                <w:b w:val="1"/>
                <w:bCs w:val="1"/>
                <w:color w:val="auto"/>
              </w:rPr>
              <w:t>TABLE OF CONTENTS (continued)</w:t>
            </w:r>
          </w:p>
        </w:tc>
        <w:tc>
          <w:tcPr>
            <w:tcW w:w="380" w:type="dxa"/>
            <w:vAlign w:val="bottom"/>
          </w:tcPr>
          <w:p>
            <w:pPr>
              <w:spacing w:after="0"/>
              <w:rPr>
                <w:sz w:val="22"/>
                <w:szCs w:val="22"/>
                <w:color w:val="auto"/>
              </w:rPr>
            </w:pPr>
          </w:p>
        </w:tc>
      </w:tr>
      <w:tr>
        <w:trPr>
          <w:trHeight w:val="399"/>
        </w:trPr>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Section</w:t>
            </w: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69"/>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5.21</w:t>
            </w:r>
          </w:p>
        </w:tc>
        <w:tc>
          <w:tcPr>
            <w:tcW w:w="60" w:type="dxa"/>
            <w:vAlign w:val="bottom"/>
          </w:tcPr>
          <w:p>
            <w:pPr>
              <w:spacing w:after="0"/>
              <w:rPr>
                <w:sz w:val="23"/>
                <w:szCs w:val="23"/>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Affected Financial Institutions; Covered Entities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5.22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Beneficial Ownership</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38"/>
        </w:trPr>
        <w:tc>
          <w:tcPr>
            <w:tcW w:w="8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 AFFIRMATIVE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Certificates; 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6.03</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Notices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6.04</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Payment of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6.05</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Preservation of Existence, Etc</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6.06</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Maintenance of Properties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6.07</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Maintenance of Insurance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6.08</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6.09</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Books and Records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6.10</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Inspection 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6.11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6.12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Approvals and Authorizations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6.13</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Additional Subsidiary Guarantors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6.14</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Anti-Corruption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100</w:t>
            </w:r>
          </w:p>
        </w:tc>
      </w:tr>
      <w:tr>
        <w:trPr>
          <w:trHeight w:val="338"/>
        </w:trPr>
        <w:tc>
          <w:tcPr>
            <w:tcW w:w="8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 NEGATIVE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Liens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7.03</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7.04</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Fundamental Changes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7.05</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Dispositions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7.06</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Restricted Payments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7.07</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Change in Nature of Business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7.08</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Transactions with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7.09</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Burdensome Agreements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7.10</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107</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Sanctions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7.13</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Anti-Corruption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7.14</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Canadian Defined Benefit Pension Plan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108</w:t>
            </w: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60" w:type="dxa"/>
            <w:vAlign w:val="bottom"/>
          </w:tcPr>
          <w:p>
            <w:pPr>
              <w:ind w:left="1360"/>
              <w:spacing w:after="0"/>
              <w:rPr>
                <w:sz w:val="20"/>
                <w:szCs w:val="20"/>
                <w:color w:val="auto"/>
              </w:rPr>
            </w:pPr>
            <w:r>
              <w:rPr>
                <w:rFonts w:ascii="Times New Roman" w:cs="Times New Roman" w:eastAsia="Times New Roman" w:hAnsi="Times New Roman"/>
                <w:sz w:val="20"/>
                <w:szCs w:val="20"/>
                <w:b w:val="1"/>
                <w:bCs w:val="1"/>
                <w:color w:val="auto"/>
              </w:rPr>
              <w:t>TABLE OF CONTENTS (continued)</w:t>
            </w:r>
          </w:p>
        </w:tc>
        <w:tc>
          <w:tcPr>
            <w:tcW w:w="380" w:type="dxa"/>
            <w:vAlign w:val="bottom"/>
          </w:tcPr>
          <w:p>
            <w:pPr>
              <w:spacing w:after="0"/>
              <w:rPr>
                <w:sz w:val="22"/>
                <w:szCs w:val="22"/>
                <w:color w:val="auto"/>
              </w:rPr>
            </w:pPr>
          </w:p>
        </w:tc>
      </w:tr>
      <w:tr>
        <w:trPr>
          <w:trHeight w:val="399"/>
        </w:trPr>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Section</w:t>
            </w:r>
          </w:p>
        </w:tc>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69"/>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7.15</w:t>
            </w:r>
          </w:p>
        </w:tc>
        <w:tc>
          <w:tcPr>
            <w:tcW w:w="20" w:type="dxa"/>
            <w:vAlign w:val="bottom"/>
          </w:tcPr>
          <w:p>
            <w:pPr>
              <w:spacing w:after="0"/>
              <w:rPr>
                <w:sz w:val="23"/>
                <w:szCs w:val="23"/>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r>
      <w:tr>
        <w:trPr>
          <w:trHeight w:val="305"/>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7.16</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Amendments of Organization Documents; Fiscal Year and Accounting</w:t>
            </w:r>
          </w:p>
        </w:tc>
        <w:tc>
          <w:tcPr>
            <w:tcW w:w="380" w:type="dxa"/>
            <w:vAlign w:val="bottom"/>
          </w:tcPr>
          <w:p>
            <w:pPr>
              <w:spacing w:after="0"/>
              <w:rPr>
                <w:sz w:val="24"/>
                <w:szCs w:val="24"/>
                <w:color w:val="auto"/>
              </w:rPr>
            </w:pPr>
          </w:p>
        </w:tc>
      </w:t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Changes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7.17</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Amendment to Material Agreements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8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VIII. EVENTS OF DEFAULT AND REMEDIES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8.01</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Events of Default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8.02</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Remedies Upon Event of Default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8.03</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Application of Funds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r>
      <w:tr>
        <w:trPr>
          <w:trHeight w:val="338"/>
        </w:trPr>
        <w:tc>
          <w:tcPr>
            <w:tcW w:w="8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IX. ADMINISTRATIVE AGENT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9.01</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Appointment and Authority</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9.02</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Rights as a Lender</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9.03</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Exculpatory Provisions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9.04</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Reliance by Administrative Agent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9.05</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Delegation of Duties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9.06</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Resignation of Administrative Agent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9.07</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Non-Reliance on Administrative Agent and Other Lenders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9.08</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 Other Duties, Etc</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9.09</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Administrative Agent May File Proofs of Claim</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9.10</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Guaranty Matters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9.11</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Lender ERISA Representation.</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r>
      <w:tr>
        <w:trPr>
          <w:trHeight w:val="305"/>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9.12</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Guaranteed Cash Management Agreements and Guaranteed Hedge</w:t>
            </w:r>
          </w:p>
        </w:tc>
        <w:tc>
          <w:tcPr>
            <w:tcW w:w="380" w:type="dxa"/>
            <w:vAlign w:val="bottom"/>
          </w:tcPr>
          <w:p>
            <w:pPr>
              <w:spacing w:after="0"/>
              <w:rPr>
                <w:sz w:val="24"/>
                <w:szCs w:val="24"/>
                <w:color w:val="auto"/>
              </w:rPr>
            </w:pPr>
          </w:p>
        </w:tc>
      </w:t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Agreements.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118</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9.13</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Recovery of Erroneous Payments.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r>
      <w:tr>
        <w:trPr>
          <w:trHeight w:val="338"/>
        </w:trPr>
        <w:tc>
          <w:tcPr>
            <w:tcW w:w="8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X. MISCELLANEOUS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10.01</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Amendments, Etc</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r>
      <w:tr>
        <w:trPr>
          <w:trHeight w:val="337"/>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10.02</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Notices; Effectiveness; Electronic Communication</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10.03</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 Waiver; Cumulative Remedies; Enforcement</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10.04</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Expenses; Indemnity; Damage Waiver</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10.05</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Payments Set Aside</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10.06</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Successors and Assigns</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126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10.07</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Treatment of Certain Information; Confidentiality</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130</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10.08</w:t>
            </w:r>
          </w:p>
        </w:tc>
        <w:tc>
          <w:tcPr>
            <w:tcW w:w="2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Right of Setoff</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131</w:t>
            </w: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720" w:type="dxa"/>
            <w:vAlign w:val="bottom"/>
          </w:tcPr>
          <w:p>
            <w:pPr>
              <w:ind w:left="1320"/>
              <w:spacing w:after="0"/>
              <w:rPr>
                <w:sz w:val="20"/>
                <w:szCs w:val="20"/>
                <w:color w:val="auto"/>
              </w:rPr>
            </w:pPr>
            <w:r>
              <w:rPr>
                <w:rFonts w:ascii="Times New Roman" w:cs="Times New Roman" w:eastAsia="Times New Roman" w:hAnsi="Times New Roman"/>
                <w:sz w:val="20"/>
                <w:szCs w:val="20"/>
                <w:b w:val="1"/>
                <w:bCs w:val="1"/>
                <w:color w:val="auto"/>
              </w:rPr>
              <w:t>TABLE OF CONTENTS (continued)</w:t>
            </w:r>
          </w:p>
        </w:tc>
        <w:tc>
          <w:tcPr>
            <w:tcW w:w="380" w:type="dxa"/>
            <w:vAlign w:val="bottom"/>
          </w:tcPr>
          <w:p>
            <w:pPr>
              <w:spacing w:after="0"/>
              <w:rPr>
                <w:sz w:val="22"/>
                <w:szCs w:val="22"/>
                <w:color w:val="auto"/>
              </w:rPr>
            </w:pPr>
          </w:p>
        </w:tc>
      </w:tr>
      <w:tr>
        <w:trPr>
          <w:trHeight w:val="399"/>
        </w:trPr>
        <w:tc>
          <w:tcPr>
            <w:tcW w:w="64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Section</w:t>
            </w: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2"/>
              </w:rPr>
              <w:t>Page</w:t>
            </w:r>
          </w:p>
        </w:tc>
      </w:tr>
      <w:tr>
        <w:trPr>
          <w:trHeight w:val="269"/>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10.09</w:t>
            </w:r>
          </w:p>
        </w:tc>
        <w:tc>
          <w:tcPr>
            <w:tcW w:w="60" w:type="dxa"/>
            <w:vAlign w:val="bottom"/>
          </w:tcPr>
          <w:p>
            <w:pPr>
              <w:spacing w:after="0"/>
              <w:rPr>
                <w:sz w:val="23"/>
                <w:szCs w:val="23"/>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Interest Rate Limitation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10.10</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Integration; Effectiveness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131</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Survival of Representations and Warranties; Release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10.12</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Severability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10.13</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Replacement of Lenders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132</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10.14</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Governing Law; Jurisdiction; Etc</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133</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10.15</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Waiver of Jury Trial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10.16</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 Advisory or Fiduciary Responsibility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134</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10.17</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Electronic Execution; Electronic Records; Counterparts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135</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10.18</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USA PATRIOT Act and Canadian AML Act Notice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10.19</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Judgment Currency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10.20</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Acknowledgement and Consent to Bail-In of Affected Financial Institutions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r>
      <w:tr>
        <w:trPr>
          <w:trHeight w:val="338"/>
        </w:trPr>
        <w:tc>
          <w:tcPr>
            <w:tcW w:w="1240" w:type="dxa"/>
            <w:vAlign w:val="bottom"/>
            <w:gridSpan w:val="2"/>
          </w:tcPr>
          <w:p>
            <w:pPr>
              <w:ind w:left="640"/>
              <w:spacing w:after="0"/>
              <w:rPr>
                <w:sz w:val="20"/>
                <w:szCs w:val="20"/>
                <w:color w:val="auto"/>
              </w:rPr>
            </w:pPr>
            <w:r>
              <w:rPr>
                <w:rFonts w:ascii="Times New Roman" w:cs="Times New Roman" w:eastAsia="Times New Roman" w:hAnsi="Times New Roman"/>
                <w:sz w:val="20"/>
                <w:szCs w:val="20"/>
                <w:b w:val="1"/>
                <w:bCs w:val="1"/>
                <w:color w:val="auto"/>
              </w:rPr>
              <w:t>10.21</w:t>
            </w:r>
          </w:p>
        </w:tc>
        <w:tc>
          <w:tcPr>
            <w:tcW w:w="6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Acknowledgement Regarding Any Supported QFCs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137</w:t>
            </w:r>
          </w:p>
        </w:tc>
      </w:tr>
      <w:tr>
        <w:trPr>
          <w:trHeight w:val="337"/>
        </w:trPr>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SIGNATURES</w:t>
            </w:r>
          </w:p>
        </w:tc>
        <w:tc>
          <w:tcPr>
            <w:tcW w:w="6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00" w:lineRule="exact"/>
        <w:rPr>
          <w:sz w:val="20"/>
          <w:szCs w:val="20"/>
          <w:color w:val="auto"/>
        </w:rPr>
      </w:pPr>
    </w:p>
    <w:p>
      <w:pPr>
        <w:spacing w:after="0" w:line="249"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21"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color w:val="auto"/>
        </w:rPr>
        <w:t>Commitments and Applicable Percentages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Day Basis for Alternative Currencies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Unrestricted Subsidiaries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5.05</w:t>
      </w:r>
      <w:r>
        <w:rPr>
          <w:sz w:val="20"/>
          <w:szCs w:val="20"/>
          <w:color w:val="auto"/>
        </w:rPr>
        <w:tab/>
      </w:r>
      <w:r>
        <w:rPr>
          <w:rFonts w:ascii="Times New Roman" w:cs="Times New Roman" w:eastAsia="Times New Roman" w:hAnsi="Times New Roman"/>
          <w:sz w:val="19"/>
          <w:szCs w:val="19"/>
          <w:color w:val="auto"/>
        </w:rPr>
        <w:t>Supplement to Interim Financial Statements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color w:val="auto"/>
        </w:rPr>
        <w:t>Subsidiaries and Other Equity Investments; Identification Numbers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color w:val="auto"/>
        </w:rPr>
        <w:t>Existing Liens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color w:val="auto"/>
        </w:rPr>
        <w:t>Existing Indebtedness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color w:val="auto"/>
        </w:rPr>
        <w:t>Burdensome Agreements</w:t>
      </w:r>
    </w:p>
    <w:p>
      <w:pPr>
        <w:ind w:left="400"/>
        <w:spacing w:after="0"/>
        <w:tabs>
          <w:tab w:leader="none" w:pos="118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220" w:lineRule="exact"/>
        <w:rPr>
          <w:sz w:val="20"/>
          <w:szCs w:val="20"/>
          <w:color w:val="auto"/>
        </w:rPr>
      </w:pPr>
    </w:p>
    <w:p>
      <w:pPr>
        <w:ind w:left="1200" w:hanging="804"/>
        <w:spacing w:after="0"/>
        <w:tabs>
          <w:tab w:leader="none" w:pos="1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Committed Loan Notice</w:t>
      </w:r>
    </w:p>
    <w:p>
      <w:pPr>
        <w:spacing w:after="0" w:line="21" w:lineRule="exact"/>
        <w:rPr>
          <w:sz w:val="20"/>
          <w:szCs w:val="20"/>
          <w:color w:val="auto"/>
        </w:rPr>
      </w:pPr>
    </w:p>
    <w:p>
      <w:pPr>
        <w:ind w:left="1200" w:hanging="804"/>
        <w:spacing w:after="0"/>
        <w:tabs>
          <w:tab w:leader="none" w:pos="12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Swing Line Loan Notice</w:t>
      </w: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9"/>
          <w:szCs w:val="19"/>
          <w:color w:val="auto"/>
        </w:rPr>
        <w:t>Form of Note</w:t>
      </w:r>
    </w:p>
    <w:p>
      <w:pPr>
        <w:ind w:left="1200" w:hanging="804"/>
        <w:spacing w:after="0"/>
        <w:tabs>
          <w:tab w:leader="none" w:pos="1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Compliance Certificate</w:t>
      </w:r>
    </w:p>
    <w:p>
      <w:pPr>
        <w:ind w:left="1200" w:hanging="804"/>
        <w:spacing w:after="0"/>
        <w:tabs>
          <w:tab w:leader="none" w:pos="1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Assignment and Assumption</w:t>
      </w:r>
    </w:p>
    <w:p>
      <w:pPr>
        <w:ind w:left="1200" w:hanging="804"/>
        <w:spacing w:after="0"/>
        <w:tabs>
          <w:tab w:leader="none" w:pos="12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of Designated Borrower Request and Assumption Agreement</w:t>
      </w:r>
    </w:p>
    <w:p>
      <w:pPr>
        <w:spacing w:after="0" w:line="11" w:lineRule="exact"/>
        <w:rPr>
          <w:sz w:val="20"/>
          <w:szCs w:val="20"/>
          <w:color w:val="auto"/>
        </w:rPr>
      </w:pPr>
    </w:p>
    <w:p>
      <w:pPr>
        <w:ind w:left="1200" w:hanging="804"/>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Designated Borrower Notice</w:t>
      </w:r>
    </w:p>
    <w:p>
      <w:pPr>
        <w:ind w:left="1200" w:hanging="804"/>
        <w:spacing w:after="0"/>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Guaranteed Party Designation Notice</w:t>
      </w: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1-4</w:t>
      </w:r>
      <w:r>
        <w:rPr>
          <w:rFonts w:ascii="Times New Roman" w:cs="Times New Roman" w:eastAsia="Times New Roman" w:hAnsi="Times New Roman"/>
          <w:sz w:val="19"/>
          <w:szCs w:val="19"/>
          <w:color w:val="auto"/>
        </w:rPr>
        <w:t>Forms of U.S. Tax Compliance Certificate</w:t>
      </w:r>
    </w:p>
    <w:p>
      <w:pPr>
        <w:ind w:left="1200" w:hanging="804"/>
        <w:spacing w:after="0"/>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Letters of Credit Report</w:t>
      </w:r>
    </w:p>
    <w:p>
      <w:pPr>
        <w:ind w:left="1200" w:hanging="804"/>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Seasonal Commitment Notice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This CREDIT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October 21, 2026, among WATSCO, INC., a Florida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(such Subsidiaries, the “</w:t>
      </w:r>
      <w:r>
        <w:rPr>
          <w:rFonts w:ascii="Times New Roman" w:cs="Times New Roman" w:eastAsia="Times New Roman" w:hAnsi="Times New Roman"/>
          <w:sz w:val="20"/>
          <w:szCs w:val="20"/>
          <w:u w:val="single" w:color="auto"/>
          <w:color w:val="auto"/>
        </w:rPr>
        <w:t>Designated 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Designated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BANK OF AMERICA, N.A.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as Administrative Agent, Swing Line Lender and L/C Issuer.</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Company has requested that the Lenders provide a revolving credit facility, and the Lenders are willing to do so on the terms and conditions set forth herein.</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1.01 Defined Terms </w:t>
      </w:r>
      <w:r>
        <w:rPr>
          <w:rFonts w:ascii="Times New Roman" w:cs="Times New Roman" w:eastAsia="Times New Roman" w:hAnsi="Times New Roman"/>
          <w:sz w:val="20"/>
          <w:szCs w:val="20"/>
          <w:color w:val="auto"/>
        </w:rPr>
        <w:t>. As used in this Agreement, the following terms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set forth below:</w:t>
      </w:r>
    </w:p>
    <w:p>
      <w:pPr>
        <w:spacing w:after="0" w:line="15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2.21(e)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Obligations</w:t>
      </w:r>
      <w:r>
        <w:rPr>
          <w:rFonts w:ascii="Times New Roman" w:cs="Times New Roman" w:eastAsia="Times New Roman" w:hAnsi="Times New Roman"/>
          <w:sz w:val="20"/>
          <w:szCs w:val="20"/>
          <w:color w:val="auto"/>
        </w:rPr>
        <w:t xml:space="preserve">” means (a) all obligations arising under Guaranteed Cash Management Agreements and Guaranteed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Additional Obligations of a Loan Party shall exclude any Excluded Swap Obligations with respect to such Loan Party.</w:t>
      </w:r>
    </w:p>
    <w:p>
      <w:pPr>
        <w:spacing w:after="0" w:line="19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any of its designated branch offices or affiliates) in its capacity as administrative agent under any of the Loan Documents, or any successor administrative agent.</w:t>
      </w:r>
    </w:p>
    <w:p>
      <w:pPr>
        <w:spacing w:after="0" w:line="174"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xml:space="preserve">” means, with respect to any currency, the Administrative Agent’s address and, as appropriate, account as set forth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with respect to such currency, or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 w:name="page14"/>
    <w:bookmarkEnd w:id="13"/>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other address or account with respect to such currency as the Administrative Agent may from time to time notify to the Company and the Lenders.</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substantially the form provided by the Administrative Agent or any other form approved by the Administrative Agent.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 (as adjusted during any Seasonal Increase Period or Seasonal Decrease Period), being $750,000,000 on the Closing Date (without giving effect to the adjustment during the Seasonal Decrease Period then in effect).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the following currencies: Euro, Sterling and Canadian Dollars, together with each other currency (other than Dollars) that is approved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provided that for each Alternative Currency, such requested currency is an Eligible Currency.</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940" w:right="319" w:firstLine="648"/>
        <w:spacing w:after="0" w:line="269" w:lineRule="auto"/>
        <w:tabs>
          <w:tab w:leader="none" w:pos="19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45" w:lineRule="auto"/>
        <w:tabs>
          <w:tab w:leader="none" w:pos="19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Committed Loan that bears interest at a rate based on the definition of “Alternative Currency Daily Rate.” All Alternative Currency Daily Rate Loans must be denominated in an Alternative Currency.</w:t>
      </w:r>
    </w:p>
    <w:p>
      <w:pPr>
        <w:spacing w:after="0" w:line="174"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no such rate 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 w:name="page15"/>
    <w:bookmarkEnd w:id="14"/>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available, the “Alternative Currency Equivalent” shall be determined by the Administrative Agent or the L/C Issuer, as the case may be, using any reasonable method of determination it deems appropriate in its sole discretion (and such determination shall be conclusive absent manifest error).</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Sublimit</w:t>
      </w:r>
      <w:r>
        <w:rPr>
          <w:rFonts w:ascii="Times New Roman" w:cs="Times New Roman" w:eastAsia="Times New Roman" w:hAnsi="Times New Roman"/>
          <w:sz w:val="20"/>
          <w:szCs w:val="20"/>
          <w:color w:val="auto"/>
        </w:rPr>
        <w:t>” means an amount equal to the lesser of the Aggregate Commitments and $150,000,000. The Alternative Currency Sublimit is part of, and not in addition to, the Aggregate Commitments.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159" w:lineRule="exact"/>
        <w:rPr>
          <w:sz w:val="20"/>
          <w:szCs w:val="20"/>
          <w:color w:val="auto"/>
        </w:rPr>
      </w:pPr>
    </w:p>
    <w:p>
      <w:pPr>
        <w:jc w:val="both"/>
        <w:ind w:left="940" w:right="299" w:firstLine="648"/>
        <w:spacing w:after="0" w:line="246" w:lineRule="auto"/>
        <w:tabs>
          <w:tab w:leader="none" w:pos="19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forward-looking term rate based on CORRA (“</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xml:space="preserve">”) on the Rate Determination Date with a term equivalent to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Term CORRA Adjustment for such Interest Period; or</w:t>
      </w:r>
    </w:p>
    <w:p>
      <w:pPr>
        <w:spacing w:after="0" w:line="184" w:lineRule="exact"/>
        <w:rPr>
          <w:rFonts w:ascii="Times New Roman" w:cs="Times New Roman" w:eastAsia="Times New Roman" w:hAnsi="Times New Roman"/>
          <w:sz w:val="20"/>
          <w:szCs w:val="20"/>
          <w:color w:val="auto"/>
        </w:rPr>
      </w:pPr>
    </w:p>
    <w:p>
      <w:pPr>
        <w:ind w:left="940" w:right="299" w:firstLine="648"/>
        <w:spacing w:after="0" w:line="245" w:lineRule="auto"/>
        <w:tabs>
          <w:tab w:leader="none" w:pos="19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Term Rate shall be less than 0.00%, such rate shall be deemed to be 0.00% for purposes of this Agreement.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Committed Loan that bears interest at a rate based on the definition of “Alternative Currency Term Rate.” All Alternative Currency Term Rate Loans must be denominated in an Alternative Currency.</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in respect of the Committed Facility, with respect to any Committed Lender at any time, the percentage (carried out to the ninth decimal place) of the Aggregate Commitments represented by such Committed Lender’s Commitment at such time, subject to adjustment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 w:name="page16"/>
    <w:bookmarkEnd w:id="15"/>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If the commitment of each Lender to make Committed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Aggregate Commitments have expired, then the Applicable Percentage of each Lender in respect of the Committed Facility shall be determined based on the Applicable Percentage of such Lender in respect of the Committed Facility most recently in effect, giving effect to any subsequent assignments. The initial Applicable Percentage and Applicable Percentage, as applicable,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Consolidated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-127000</wp:posOffset>
            </wp:positionV>
            <wp:extent cx="5301615" cy="1948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1615" cy="1948180"/>
                    </a:xfrm>
                    <a:prstGeom prst="rect">
                      <a:avLst/>
                    </a:prstGeom>
                    <a:noFill/>
                  </pic:spPr>
                </pic:pic>
              </a:graphicData>
            </a:graphic>
          </wp:anchor>
        </w:drawing>
      </w:r>
    </w:p>
    <w:p>
      <w:pPr>
        <w:spacing w:after="0" w:line="8" w:lineRule="exact"/>
        <w:rPr>
          <w:sz w:val="20"/>
          <w:szCs w:val="20"/>
          <w:color w:val="auto"/>
        </w:rPr>
      </w:pPr>
    </w:p>
    <w:tbl>
      <w:tblPr>
        <w:tblLayout w:type="fixed"/>
        <w:tblInd w:w="370" w:type="dxa"/>
        <w:tblCellMar>
          <w:top w:w="0" w:type="dxa"/>
          <w:left w:w="0" w:type="dxa"/>
          <w:bottom w:w="0" w:type="dxa"/>
          <w:right w:w="0" w:type="dxa"/>
        </w:tblCellMar>
      </w:tblPr>
      <w:tr>
        <w:trPr>
          <w:trHeight w:val="190"/>
        </w:trPr>
        <w:tc>
          <w:tcPr>
            <w:tcW w:w="178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340" w:type="dxa"/>
            <w:vAlign w:val="bottom"/>
            <w:tcBorders>
              <w:top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L</w:t>
            </w:r>
          </w:p>
        </w:tc>
        <w:tc>
          <w:tcPr>
            <w:tcW w:w="2700" w:type="dxa"/>
            <w:vAlign w:val="bottom"/>
            <w:tcBorders>
              <w:top w:val="single" w:sz="8" w:color="auto"/>
              <w:right w:val="single" w:sz="8" w:color="auto"/>
            </w:tcBorders>
          </w:tcPr>
          <w:p>
            <w:pPr>
              <w:spacing w:after="0"/>
              <w:rPr>
                <w:sz w:val="16"/>
                <w:szCs w:val="16"/>
                <w:color w:val="auto"/>
              </w:rPr>
            </w:pPr>
          </w:p>
        </w:tc>
        <w:tc>
          <w:tcPr>
            <w:tcW w:w="3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right w:val="single" w:sz="8" w:color="auto"/>
            </w:tcBorders>
            <w:gridSpan w:val="2"/>
            <w:vMerge w:val="continue"/>
          </w:tcPr>
          <w:p>
            <w:pPr>
              <w:spacing w:after="0"/>
              <w:rPr>
                <w:sz w:val="16"/>
                <w:szCs w:val="16"/>
                <w:color w:val="auto"/>
              </w:rPr>
            </w:pPr>
          </w:p>
        </w:tc>
        <w:tc>
          <w:tcPr>
            <w:tcW w:w="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w:t>
            </w:r>
          </w:p>
        </w:tc>
        <w:tc>
          <w:tcPr>
            <w:tcW w:w="2700" w:type="dxa"/>
            <w:vAlign w:val="bottom"/>
            <w:tcBorders>
              <w:right w:val="single" w:sz="8" w:color="auto"/>
            </w:tcBorders>
          </w:tcPr>
          <w:p>
            <w:pPr>
              <w:spacing w:after="0"/>
              <w:rPr>
                <w:sz w:val="16"/>
                <w:szCs w:val="16"/>
                <w:color w:val="auto"/>
              </w:rPr>
            </w:pPr>
          </w:p>
        </w:tc>
        <w:tc>
          <w:tcPr>
            <w:tcW w:w="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88"/>
              </w:rPr>
              <w:t>o</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it</w:t>
            </w:r>
          </w:p>
        </w:tc>
        <w:tc>
          <w:tcPr>
            <w:tcW w:w="3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o</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27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Alternative Currency Term</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27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Rate Loans, Alternative</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w:t>
            </w:r>
          </w:p>
        </w:tc>
        <w:tc>
          <w:tcPr>
            <w:tcW w:w="27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Currency Daily Rate Loans,</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Swing Line Loans, Daily Simple</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7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SOFR Loans and Term SOFR</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0" w:type="dxa"/>
            <w:vAlign w:val="bottom"/>
          </w:tcPr>
          <w:p>
            <w:pPr>
              <w:spacing w:after="0"/>
              <w:rPr>
                <w:sz w:val="1"/>
                <w:szCs w:val="1"/>
                <w:color w:val="auto"/>
              </w:rPr>
            </w:pPr>
          </w:p>
        </w:tc>
      </w:tr>
      <w:tr>
        <w:trPr>
          <w:trHeight w:val="259"/>
        </w:trPr>
        <w:tc>
          <w:tcPr>
            <w:tcW w:w="1780" w:type="dxa"/>
            <w:vAlign w:val="bottom"/>
            <w:tcBorders>
              <w:left w:val="single" w:sz="8" w:color="auto"/>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Pricing Level</w:t>
            </w:r>
          </w:p>
        </w:tc>
        <w:tc>
          <w:tcPr>
            <w:tcW w:w="120" w:type="dxa"/>
            <w:vAlign w:val="bottom"/>
            <w:tcBorders>
              <w:bottom w:val="single" w:sz="8" w:color="auto"/>
              <w:right w:val="single" w:sz="8" w:color="auto"/>
            </w:tcBorders>
          </w:tcPr>
          <w:p>
            <w:pPr>
              <w:spacing w:after="0"/>
              <w:rPr>
                <w:sz w:val="22"/>
                <w:szCs w:val="22"/>
                <w:color w:val="auto"/>
              </w:rPr>
            </w:pPr>
          </w:p>
        </w:tc>
        <w:tc>
          <w:tcPr>
            <w:tcW w:w="27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Consolidated Leverage Ratio</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it</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s</w:t>
            </w:r>
          </w:p>
        </w:tc>
        <w:tc>
          <w:tcPr>
            <w:tcW w:w="0" w:type="dxa"/>
            <w:vAlign w:val="bottom"/>
          </w:tcPr>
          <w:p>
            <w:pPr>
              <w:spacing w:after="0"/>
              <w:rPr>
                <w:sz w:val="1"/>
                <w:szCs w:val="1"/>
                <w:color w:val="auto"/>
              </w:rPr>
            </w:pPr>
          </w:p>
        </w:tc>
      </w:tr>
      <w:tr>
        <w:trPr>
          <w:trHeight w:val="229"/>
        </w:trPr>
        <w:tc>
          <w:tcPr>
            <w:tcW w:w="178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&lt; 1.00:1.00</w:t>
            </w: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7"/>
              </w:rPr>
              <w:t>.</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7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780" w:type="dxa"/>
            <w:vAlign w:val="bottom"/>
            <w:tcBorders>
              <w:lef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27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gridSpan w:val="3"/>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1"/>
                <w:szCs w:val="21"/>
                <w:color w:val="auto"/>
              </w:rPr>
            </w:pPr>
          </w:p>
        </w:tc>
        <w:tc>
          <w:tcPr>
            <w:tcW w:w="27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&gt; 1.00:1.00 but &lt; 2.00:1.00</w:t>
            </w: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7"/>
              </w:rPr>
              <w:t>.</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gridSpan w:val="3"/>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1"/>
                <w:szCs w:val="21"/>
                <w:color w:val="auto"/>
              </w:rPr>
            </w:pPr>
          </w:p>
        </w:tc>
        <w:tc>
          <w:tcPr>
            <w:tcW w:w="27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2.00:1.00 but &lt; 2.50:1.00</w:t>
            </w: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7"/>
              </w:rPr>
              <w:t>.</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gridSpan w:val="3"/>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 2.50:1.00</w:t>
            </w: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7"/>
              </w:rPr>
              <w:t>.</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7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7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 The Applicable Rate in effect from the Closing Date through the first Business Day immediately following the date on which the Administrative Agent receives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for the Measurement Period ending September 30, 2026 shall be determined based upon Pricing Level 1.</w:t>
      </w:r>
    </w:p>
    <w:p>
      <w:pPr>
        <w:spacing w:after="0" w:line="192"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13" w:right="1440"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 w:name="page18"/>
    <w:bookmarkEnd w:id="17"/>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BofA Securities, Inc. (“</w:t>
      </w:r>
      <w:r>
        <w:rPr>
          <w:rFonts w:ascii="Times New Roman" w:cs="Times New Roman" w:eastAsia="Times New Roman" w:hAnsi="Times New Roman"/>
          <w:sz w:val="20"/>
          <w:szCs w:val="20"/>
          <w:u w:val="single" w:color="auto"/>
          <w:color w:val="auto"/>
        </w:rPr>
        <w:t>BofA Securities</w:t>
      </w:r>
      <w:r>
        <w:rPr>
          <w:rFonts w:ascii="Times New Roman" w:cs="Times New Roman" w:eastAsia="Times New Roman" w:hAnsi="Times New Roman"/>
          <w:sz w:val="20"/>
          <w:szCs w:val="20"/>
          <w:color w:val="auto"/>
        </w:rPr>
        <w:t>”), JPMorgan Chase Bank, N.A., PNC Capital Markets LLC, U.S. Bank National Association and Wells Fargo Securities, LLC, each in its capacity as joint lead arranger and joint bookrunner.</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for the fiscal year ended December 31, 2025, and the related consolidated statements of income or operations, shareholders’ equity and cash flows for such fiscal year of the Company and its Subsidiaries, including the notes thereto.</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in respect of the Committed Facility, the period from and including the Closing Date to the earliest of (a) the Maturity Date, (b) the date of termination of the Aggregate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Committed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for any day a fluctuating rate per annum equal to the highest of (a) the Federal Funds Rate plus 1/2 of 1%, (b) the rate of interest in effect for such day as publicly announced from time to time by Bank of America as its “prime rate,” (c) Term SOFR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 w:name="page19"/>
    <w:bookmarkEnd w:id="18"/>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clauses (a), (b) and (d) above and shall be determined without reference to clause (c) above.</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Committed Loan</w:t>
      </w:r>
      <w:r>
        <w:rPr>
          <w:rFonts w:ascii="Times New Roman" w:cs="Times New Roman" w:eastAsia="Times New Roman" w:hAnsi="Times New Roman"/>
          <w:sz w:val="20"/>
          <w:szCs w:val="20"/>
          <w:color w:val="auto"/>
        </w:rPr>
        <w:t>” means a Committed Loan that is a Base Rate Loan.</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3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hereto.</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Committed Borrowing or a Swing Line Borrowing, as the context may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require.</w:t>
      </w:r>
    </w:p>
    <w:p>
      <w:pPr>
        <w:spacing w:after="0" w:line="19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74" w:lineRule="exact"/>
        <w:rPr>
          <w:sz w:val="20"/>
          <w:szCs w:val="20"/>
          <w:color w:val="auto"/>
        </w:rPr>
      </w:pPr>
    </w:p>
    <w:p>
      <w:pPr>
        <w:jc w:val="both"/>
        <w:ind w:left="940" w:right="299" w:firstLine="648"/>
        <w:spacing w:after="0" w:line="246" w:lineRule="auto"/>
        <w:tabs>
          <w:tab w:leader="none" w:pos="19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a currency other than Euro or Sterling, means any such day on which dealings in deposits in the relevant currency are conducted by and between banks in the applicable offshore interbank market for such currency; and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 w:name="page20"/>
    <w:bookmarkEnd w:id="19"/>
    <w:p>
      <w:pPr>
        <w:jc w:val="both"/>
        <w:ind w:left="940" w:right="299"/>
        <w:spacing w:after="0" w:line="254" w:lineRule="auto"/>
        <w:rPr>
          <w:sz w:val="20"/>
          <w:szCs w:val="20"/>
          <w:color w:val="auto"/>
        </w:rPr>
      </w:pPr>
      <w:r>
        <w:rPr>
          <w:rFonts w:ascii="Times New Roman" w:cs="Times New Roman" w:eastAsia="Times New Roman" w:hAnsi="Times New Roman"/>
          <w:sz w:val="20"/>
          <w:szCs w:val="20"/>
          <w:color w:val="auto"/>
        </w:rPr>
        <w:t>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AML Acts</w:t>
      </w:r>
      <w:r>
        <w:rPr>
          <w:rFonts w:ascii="Times New Roman" w:cs="Times New Roman" w:eastAsia="Times New Roman" w:hAnsi="Times New Roman"/>
          <w:sz w:val="20"/>
          <w:szCs w:val="20"/>
          <w:color w:val="auto"/>
        </w:rPr>
        <w:t>” means applicable Canadian law regarding anti-money laundering, anti-terrorist financing, government sanction and “know your client” matters, including the Proceeds of Crime (Money Laundering) and Terrorist Financing Act (Canada).</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Defined Benefit Pension Plan</w:t>
      </w:r>
      <w:r>
        <w:rPr>
          <w:rFonts w:ascii="Times New Roman" w:cs="Times New Roman" w:eastAsia="Times New Roman" w:hAnsi="Times New Roman"/>
          <w:sz w:val="20"/>
          <w:szCs w:val="20"/>
          <w:color w:val="auto"/>
        </w:rPr>
        <w:t>” means a Canadian Pension Plan that contains a “defined benefit provision” as such term is defined in Section 147.1(1) of the Income Tax Act (Canada).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 the lawful currency of Canada.</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Loan Party</w:t>
      </w:r>
      <w:r>
        <w:rPr>
          <w:rFonts w:ascii="Times New Roman" w:cs="Times New Roman" w:eastAsia="Times New Roman" w:hAnsi="Times New Roman"/>
          <w:sz w:val="20"/>
          <w:szCs w:val="20"/>
          <w:color w:val="auto"/>
        </w:rPr>
        <w:t>” means any Loan Party that is organized under the federal laws of Canada or the laws of one of the provinces or territories of Canada.</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w:t>
      </w:r>
      <w:r>
        <w:rPr>
          <w:rFonts w:ascii="Times New Roman" w:cs="Times New Roman" w:eastAsia="Times New Roman" w:hAnsi="Times New Roman"/>
          <w:sz w:val="20"/>
          <w:szCs w:val="20"/>
          <w:color w:val="auto"/>
        </w:rPr>
        <w:t>” means a pension plan or plan that is subject to applicable pension benefits legislation in any jurisdiction of Canada and that is established by a Loan Party or any Subsidiary thereof, and organized and administered to provide pensions, pension benefits or retirement benefits for employees and former employees of any Loan Party or any Subsidiary thereof.</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 Termination Event</w:t>
      </w:r>
      <w:r>
        <w:rPr>
          <w:rFonts w:ascii="Times New Roman" w:cs="Times New Roman" w:eastAsia="Times New Roman" w:hAnsi="Times New Roman"/>
          <w:sz w:val="20"/>
          <w:szCs w:val="20"/>
          <w:color w:val="auto"/>
        </w:rPr>
        <w:t>” means an event which would entitle a Person (without the consent of the Company, a Designated Borrower or a Restricted Subsidiary) to wind up or terminate a Canadian Pension Plan in full or in part, or the institution of any steps by any Person to withdraw from, terminate participation in, wind up or order the termination or wind-up of, in full or in part, any Canadian Pension Plan, or the receipt by a the Company or a Restricted Subsidiary of correspondence from a Governmental Authority relating to a potential or actual, partial or full, termination or wind-up of any Canadian Pension Plan, or an event respecting any Canadian Pension Plan which would result in the revocation of the registration of such Canadian Pension Plan or which could otherwise reasonably be expected to adversely affect the tax status of any such Canadian Pension Plan.</w:t>
      </w:r>
    </w:p>
    <w:p>
      <w:pPr>
        <w:spacing w:after="0" w:line="186"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w:t>
      </w:r>
      <w:r>
        <w:rPr>
          <w:rFonts w:ascii="Times New Roman" w:cs="Times New Roman" w:eastAsia="Times New Roman" w:hAnsi="Times New Roman"/>
          <w:sz w:val="20"/>
          <w:szCs w:val="20"/>
          <w:color w:val="auto"/>
        </w:rPr>
        <w:t>” means any Subsidiary that is organized under the federal laws of Canada or the laws of one of the provinces or territories of Canada.</w:t>
      </w:r>
    </w:p>
    <w:p>
      <w:pPr>
        <w:spacing w:after="0" w:line="159"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one or more of the L/C Issuer or the Committed Lenders, as collateral for L/C Obligations or obligations of the Committed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7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xml:space="preserve">” means any of the following types of Investments, to the extent owned by the Company or any of its Restricted Subsidiaries free and clear of all Liens (other than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940" w:right="319" w:firstLine="648"/>
        <w:spacing w:after="0" w:line="264" w:lineRule="auto"/>
        <w:tabs>
          <w:tab w:leader="none" w:pos="1948"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readily marketable obligations issued or directly and fully guaranteed or insured by the United States or any agency or instrumentality thereof having maturities of not more than one</w:t>
      </w:r>
    </w:p>
    <w:p>
      <w:pPr>
        <w:ind w:left="940" w:right="319"/>
        <w:spacing w:after="0" w:line="246" w:lineRule="auto"/>
        <w:tabs>
          <w:tab w:leader="none" w:pos="123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from the date of acquisition thereof; provided that the full faith and credit of the United States is pledged in support thereof;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 w:name="page21"/>
    <w:bookmarkEnd w:id="20"/>
    <w:p>
      <w:pPr>
        <w:jc w:val="both"/>
        <w:ind w:left="940" w:right="299" w:firstLine="648"/>
        <w:spacing w:after="0" w:line="243" w:lineRule="auto"/>
        <w:tabs>
          <w:tab w:leader="none" w:pos="19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definition and (iii) has combined capital and surplus of at least $500,000,000, in each case with maturities of not more than one-hundred eighty (180) days from the date of acquisition thereof;</w:t>
      </w:r>
    </w:p>
    <w:p>
      <w:pPr>
        <w:spacing w:after="0" w:line="202"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w:t>
      </w:r>
    </w:p>
    <w:p>
      <w:pPr>
        <w:spacing w:after="0" w:line="193"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fully collateralized repurchase agreements with a term of not more than 30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w:t>
      </w:r>
    </w:p>
    <w:p>
      <w:pPr>
        <w:spacing w:after="0" w:line="187"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securities with a maturity of no greater than 365 days and rated at least “A-” by S&amp;P or at least “A3” by Moody’s;</w:t>
      </w:r>
    </w:p>
    <w:p>
      <w:pPr>
        <w:spacing w:after="0" w:line="172"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w:t>
      </w:r>
    </w:p>
    <w:p>
      <w:pPr>
        <w:ind w:left="1220" w:hanging="280"/>
        <w:spacing w:after="0"/>
        <w:tabs>
          <w:tab w:leader="none" w:pos="1220" w:val="left"/>
        </w:tabs>
        <w:numPr>
          <w:ilvl w:val="0"/>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definition; and</w:t>
      </w:r>
    </w:p>
    <w:p>
      <w:pPr>
        <w:spacing w:after="0" w:line="207" w:lineRule="exact"/>
        <w:rPr>
          <w:rFonts w:ascii="Times New Roman" w:cs="Times New Roman" w:eastAsia="Times New Roman" w:hAnsi="Times New Roman"/>
          <w:sz w:val="20"/>
          <w:szCs w:val="20"/>
          <w:u w:val="single" w:color="auto"/>
          <w:color w:val="auto"/>
        </w:rPr>
      </w:pPr>
    </w:p>
    <w:p>
      <w:pPr>
        <w:jc w:val="both"/>
        <w:ind w:left="940" w:right="319" w:firstLine="648"/>
        <w:spacing w:after="0" w:line="249" w:lineRule="auto"/>
        <w:tabs>
          <w:tab w:leader="none" w:pos="194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restriction set forth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other debt or equity securities which are listed on a national securities exchange or freely traded in the over-the-counter market so long as the cost of such securities does not exceed at any time in the aggregate an amount equal to 5% of Consolidated Tangible Assets as of the Company’s most recent fiscal year end.</w:t>
      </w:r>
    </w:p>
    <w:p>
      <w:pPr>
        <w:spacing w:after="0" w:line="193"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means any Person in its capacity as a party to a Cash Management Agreement that, (a) at the time it enters into a Cash Management Agreement with a Loan Party or Restricted Subsidiary, is a Lender or an Affiliate of a Lender, or (b) at the time it (or its Affiliate) becomes a Lender, is a party to a Cash Management Agreement with a Loan Party or Restricted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any of the foregoing to be included as a “Guaranteed Cash Management Agreement” on any date of determination by the Administrative Agent, the applicable Cash Management Bank (other than the Administrative Agent or an Affiliate of the Administrative Agent) must have delivered a Guaranteed Party Designation Notice to the Administrative Agent prior to such date of determination.</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Person that is a controlled foreign corporation under Section 957 of the Code.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 w:name="page22"/>
    <w:bookmarkEnd w:id="21"/>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Debt</w:t>
      </w:r>
      <w:r>
        <w:rPr>
          <w:rFonts w:ascii="Times New Roman" w:cs="Times New Roman" w:eastAsia="Times New Roman" w:hAnsi="Times New Roman"/>
          <w:sz w:val="20"/>
          <w:szCs w:val="20"/>
          <w:color w:val="auto"/>
        </w:rPr>
        <w:t>” means intercompany loans, Indebtedness, or receivables owed or treated as owed by one or more Foreign Subsidiaries that are CFCs.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of any of the following:</w:t>
      </w:r>
    </w:p>
    <w:p>
      <w:pPr>
        <w:spacing w:after="0" w:line="33" w:lineRule="exact"/>
        <w:rPr>
          <w:sz w:val="20"/>
          <w:szCs w:val="20"/>
          <w:color w:val="auto"/>
        </w:rPr>
      </w:pPr>
    </w:p>
    <w:p>
      <w:pPr>
        <w:jc w:val="both"/>
        <w:ind w:left="300" w:right="299" w:hanging="8"/>
        <w:spacing w:after="0"/>
        <w:tabs>
          <w:tab w:leader="none" w:pos="59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ind w:left="1940" w:hanging="352"/>
        <w:spacing w:after="0"/>
        <w:tabs>
          <w:tab w:leader="none" w:pos="1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Company,</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58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(each as used in Sections 13(d)(3) and 14(d)(2) of the Securities Exchange Act of 1934) other than Albert Nahmad and each Related Affiliate (each an “</w:t>
      </w:r>
      <w:r>
        <w:rPr>
          <w:rFonts w:ascii="Times New Roman" w:cs="Times New Roman" w:eastAsia="Times New Roman" w:hAnsi="Times New Roman"/>
          <w:sz w:val="20"/>
          <w:szCs w:val="20"/>
          <w:u w:val="single" w:color="auto"/>
          <w:color w:val="auto"/>
        </w:rPr>
        <w:t>Existing Control Group</w:t>
      </w:r>
      <w:r>
        <w:rPr>
          <w:rFonts w:ascii="Times New Roman" w:cs="Times New Roman" w:eastAsia="Times New Roman" w:hAnsi="Times New Roman"/>
          <w:sz w:val="20"/>
          <w:szCs w:val="20"/>
          <w:color w:val="auto"/>
        </w:rPr>
        <w:t>”) either (A) becomes the “beneficial owner” (as defined in Rule 13d-3 of the Securities Exchange Act of 1934), directly or indirectly, of Voting Stock of the Company (or securities convertible into or exchangeable for such Voting Stock) representing fifty percent (50%) or more of the combined voting power of all Voting Stock of the Company (on a fully diluted basis) or (B) otherwise has the ability, directly or indirectly, to elect a majority of the board of directors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 event described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occur solely by reason of the death of one or more members of the Existing Control Group, then a “Change of Control” shall not be deemed to have occurred so long as the Voting Stock of the decedent is owned of record by the estate or immediate family of such decedent or another member of the Existing Control Group); or</w:t>
      </w:r>
    </w:p>
    <w:p>
      <w:pPr>
        <w:spacing w:after="0" w:line="197" w:lineRule="exact"/>
        <w:rPr>
          <w:rFonts w:ascii="Times New Roman" w:cs="Times New Roman" w:eastAsia="Times New Roman" w:hAnsi="Times New Roman"/>
          <w:sz w:val="20"/>
          <w:szCs w:val="20"/>
          <w:color w:val="auto"/>
        </w:rPr>
      </w:pPr>
    </w:p>
    <w:p>
      <w:pPr>
        <w:ind w:left="1580" w:right="299" w:firstLine="656"/>
        <w:spacing w:after="0" w:line="242" w:lineRule="auto"/>
        <w:tabs>
          <w:tab w:leader="none" w:pos="258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up to twenty-four (24) consecutive months, commencing on the Closing Date, individuals who at the beginning of such twenty-four (24)-month period were directors of the Company shall cease for any reason (other than the death, disability or retirement of a director or of an officer of the Company that is serving as a director at such time so long as another officer of the Company replaces such Person as a director) to constitute a majority of the board of directors of the Company, unless the replacement thereof (x) was recommended or approved by a majority of the then directors or (y) with respect to whom votes by Albert Nahmad and/or any of his Family Members and/or Related Affiliates were sufficient for such member’s election to the board of directors of the Company;</w:t>
      </w:r>
    </w:p>
    <w:p>
      <w:pPr>
        <w:spacing w:after="0" w:line="192" w:lineRule="exact"/>
        <w:rPr>
          <w:rFonts w:ascii="Times New Roman" w:cs="Times New Roman" w:eastAsia="Times New Roman" w:hAnsi="Times New Roman"/>
          <w:sz w:val="20"/>
          <w:szCs w:val="20"/>
          <w:color w:val="auto"/>
        </w:rPr>
      </w:pPr>
    </w:p>
    <w:p>
      <w:pPr>
        <w:ind w:left="940" w:right="359" w:firstLine="648"/>
        <w:spacing w:after="0" w:line="269" w:lineRule="auto"/>
        <w:tabs>
          <w:tab w:leader="none" w:pos="19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Wholly-Owned Material Subsidiary (other than pursuant to transactions permitted under this Agreement),</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58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cease to own, directly or indirectly, at least 100% of the Voting Stock of each Wholly-Owned Material Subsidiary existing on the Closing Date or any other Subsidiary that is or becomes a Wholly-Owned Material Subsidiary after the date hereof;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2" w:name="page23"/>
    <w:bookmarkEnd w:id="22"/>
    <w:p>
      <w:pPr>
        <w:jc w:val="both"/>
        <w:ind w:left="1580" w:right="299" w:firstLine="656"/>
        <w:spacing w:after="0" w:line="246" w:lineRule="auto"/>
        <w:tabs>
          <w:tab w:leader="none" w:pos="258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two or more Persons acting in concert other than the Company shall have acquired by contract or otherwise, or shall have consummated a contract or arrangement that results in its or their acquisition of the power to exercise, directly or indirectly, a controlling influence on the management or policies of such Material Subsidiary; or</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Designated Borrower, the Company shall cease to own, directly or indirectly, at least the percentage of the Voting Stock of such Designated Borrower that it owned on the date such entity became a Designated Borrower hereunder.</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as to each Lender, its obligation to (a) make Committed Loans to the Borrowers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“Commitment” or opposite such caption in the Assignment and Assumption pursuant to which such Lender becomes a party hereto, as applicable, as such amount may be adjusted from time to time in accordance with this Agreement.</w:t>
      </w:r>
    </w:p>
    <w:p>
      <w:pPr>
        <w:spacing w:after="0" w:line="18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Borrowing</w:t>
      </w:r>
      <w:r>
        <w:rPr>
          <w:rFonts w:ascii="Times New Roman" w:cs="Times New Roman" w:eastAsia="Times New Roman" w:hAnsi="Times New Roman"/>
          <w:sz w:val="20"/>
          <w:szCs w:val="20"/>
          <w:color w:val="auto"/>
        </w:rPr>
        <w:t xml:space="preserve">” means a Borrowing consisting of simultaneous Committed Loans of the same Type, in the same currency and, in the case of Term SOFR or Alternative Currency Term Rate Loans, having the same Interest Period made by each of the Lenders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Facility</w:t>
      </w:r>
      <w:r>
        <w:rPr>
          <w:rFonts w:ascii="Times New Roman" w:cs="Times New Roman" w:eastAsia="Times New Roman" w:hAnsi="Times New Roman"/>
          <w:sz w:val="20"/>
          <w:szCs w:val="20"/>
          <w:color w:val="auto"/>
        </w:rPr>
        <w:t>” means, at any time, the revolving credit facility provided in this Agreement pursuant to the Aggregate Commitments.</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Lender</w:t>
      </w:r>
      <w:r>
        <w:rPr>
          <w:rFonts w:ascii="Times New Roman" w:cs="Times New Roman" w:eastAsia="Times New Roman" w:hAnsi="Times New Roman"/>
          <w:sz w:val="20"/>
          <w:szCs w:val="20"/>
          <w:color w:val="auto"/>
        </w:rPr>
        <w:t>” means, at any time, any Lender that has a Commitment or outstanding Committed Loans or participations in L/C Obligations and Swing Line Loans at such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xml:space="preserve">” means a notice of (a) a Committed Borrowing, (b) a conversion of Committed Loans from one Type to the other, or (c) a continuation of Term SOFR Loans or Alternative Currency Term Rate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3" w:name="page24"/>
    <w:bookmarkEnd w:id="23"/>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2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the use, administration of or any conventions associated with SOFR, CORRA, Daily Simple SOFR, SONIA, Term CORRA, Term SOFR or any proposed Successor Rate for an Agreed Currency, as applicable, any conforming changes to the definitions of “Base Rate”, “SOFR”, “CORRA”, “Daily Simple SOFR”, “SONIA”, “Term CORRA”, “Term SOFR” and “Interest Period”, the timing and frequency of determining rates and making payments of interest and other technical, administrative or operational matters (including, for the avoidance of doubt, the definitions of “Business Day” and “U.S. Government Securities Business Day”, the timing of borrowing requests or prepayment, conversion or continuation notices and the length of lookback periods and the day basis for calculating interest for an Agreed Currency listed on </w:t>
      </w:r>
      <w:r>
        <w:rPr>
          <w:rFonts w:ascii="Times New Roman" w:cs="Times New Roman" w:eastAsia="Times New Roman" w:hAnsi="Times New Roman"/>
          <w:sz w:val="20"/>
          <w:szCs w:val="20"/>
          <w:u w:val="single" w:color="auto"/>
          <w:color w:val="auto"/>
        </w:rPr>
        <w:t>Schedule 2.10</w:t>
      </w:r>
      <w:r>
        <w:rPr>
          <w:rFonts w:ascii="Times New Roman" w:cs="Times New Roman" w:eastAsia="Times New Roman" w:hAnsi="Times New Roman"/>
          <w:sz w:val="20"/>
          <w:szCs w:val="20"/>
          <w:color w:val="auto"/>
        </w:rPr>
        <w:t>) as may be appropriate, in the reasonable discretion of the Administrative Agent (in consultation with the Company),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(in consultation with the Company) is reasonably necessary in connection with the administration of this Agreement and any other Loan Document).</w:t>
      </w:r>
    </w:p>
    <w:p>
      <w:pPr>
        <w:spacing w:after="0" w:line="192" w:lineRule="exact"/>
        <w:rPr>
          <w:sz w:val="20"/>
          <w:szCs w:val="20"/>
          <w:color w:val="auto"/>
        </w:rPr>
      </w:pPr>
    </w:p>
    <w:p>
      <w:pPr>
        <w:jc w:val="both"/>
        <w:ind w:left="30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for the Company and the Restricted Subsidiaries for any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Measurement Period ending on the date of computation thereof, an amount equal to:</w:t>
      </w:r>
    </w:p>
    <w:p>
      <w:pPr>
        <w:spacing w:after="0" w:line="190" w:lineRule="exact"/>
        <w:rPr>
          <w:sz w:val="20"/>
          <w:szCs w:val="20"/>
          <w:color w:val="auto"/>
        </w:rPr>
      </w:pPr>
    </w:p>
    <w:p>
      <w:pPr>
        <w:ind w:left="1300" w:hanging="360"/>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ind w:left="300" w:right="360" w:firstLine="640"/>
        <w:spacing w:after="0" w:line="269" w:lineRule="auto"/>
        <w:tabs>
          <w:tab w:leader="none" w:pos="130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deducted in determining Consolidated Net Income for such period and without duplication, the sum of:</w:t>
      </w:r>
    </w:p>
    <w:p>
      <w:pPr>
        <w:spacing w:after="0" w:line="15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15"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w:t>
      </w:r>
    </w:p>
    <w:p>
      <w:pPr>
        <w:spacing w:after="0" w:line="215" w:lineRule="exact"/>
        <w:rPr>
          <w:rFonts w:ascii="Times New Roman" w:cs="Times New Roman" w:eastAsia="Times New Roman" w:hAnsi="Times New Roman"/>
          <w:sz w:val="20"/>
          <w:szCs w:val="20"/>
          <w:color w:val="auto"/>
        </w:rPr>
      </w:pPr>
    </w:p>
    <w:p>
      <w:pPr>
        <w:ind w:left="2300" w:hanging="712"/>
        <w:spacing w:after="0"/>
        <w:tabs>
          <w:tab w:leader="none" w:pos="23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w:t>
      </w:r>
    </w:p>
    <w:p>
      <w:pPr>
        <w:spacing w:after="0" w:line="215" w:lineRule="exact"/>
        <w:rPr>
          <w:rFonts w:ascii="Times New Roman" w:cs="Times New Roman" w:eastAsia="Times New Roman" w:hAnsi="Times New Roman"/>
          <w:sz w:val="20"/>
          <w:szCs w:val="20"/>
          <w:color w:val="auto"/>
        </w:rPr>
      </w:pPr>
    </w:p>
    <w:p>
      <w:pPr>
        <w:ind w:left="940" w:firstLine="648"/>
        <w:spacing w:after="0" w:line="254" w:lineRule="auto"/>
        <w:tabs>
          <w:tab w:leader="none" w:pos="230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restructuring charges in an aggregate amount for any Measurement Period not to exceed 5% of Consolidated EBITDA (as calculated after giving effect to such add-back of cash restructuring charges) for such Measurement Period;</w:t>
      </w:r>
    </w:p>
    <w:p>
      <w:pPr>
        <w:spacing w:after="0" w:line="174" w:lineRule="exact"/>
        <w:rPr>
          <w:rFonts w:ascii="Times New Roman" w:cs="Times New Roman" w:eastAsia="Times New Roman" w:hAnsi="Times New Roman"/>
          <w:sz w:val="20"/>
          <w:szCs w:val="20"/>
          <w:color w:val="auto"/>
        </w:rPr>
      </w:pPr>
    </w:p>
    <w:p>
      <w:pPr>
        <w:jc w:val="both"/>
        <w:ind w:left="940" w:right="320" w:firstLine="648"/>
        <w:spacing w:after="0" w:line="246" w:lineRule="auto"/>
        <w:tabs>
          <w:tab w:leader="none" w:pos="194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expenses or losses (including, but not limited to, non-cash rent expense, impairment of goodwill, or asset write-off or write-down related to intangible assets or long-lived assets, exchange rate losses, non-cash, stock based compensation or non-cash restructuring charges), excluding any non-cash charge, expense or loss that represents an accrual for a cash expense to be taken in a future period;</w:t>
      </w:r>
    </w:p>
    <w:p>
      <w:pPr>
        <w:spacing w:after="0" w:line="18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i w:val="1"/>
          <w:iCs w:val="1"/>
          <w:color w:val="auto"/>
        </w:rPr>
        <w:t>minus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1413" w:right="1419" w:bottom="1440" w:gutter="0" w:footer="0" w:header="0"/>
        </w:sectPr>
      </w:pPr>
    </w:p>
    <w:bookmarkStart w:id="24" w:name="page25"/>
    <w:bookmarkEnd w:id="24"/>
    <w:p>
      <w:pPr>
        <w:ind w:left="300" w:right="319" w:firstLine="640"/>
        <w:spacing w:after="0" w:line="269" w:lineRule="auto"/>
        <w:tabs>
          <w:tab w:leader="none" w:pos="130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 without duplication, to the extent included in the determination of Consolidated Net Income:</w:t>
      </w:r>
    </w:p>
    <w:p>
      <w:pPr>
        <w:spacing w:after="0" w:line="159" w:lineRule="exact"/>
        <w:rPr>
          <w:rFonts w:ascii="Times New Roman" w:cs="Times New Roman" w:eastAsia="Times New Roman" w:hAnsi="Times New Roman"/>
          <w:sz w:val="20"/>
          <w:szCs w:val="20"/>
          <w:color w:val="auto"/>
        </w:rPr>
      </w:pPr>
    </w:p>
    <w:p>
      <w:pPr>
        <w:ind w:left="940" w:right="399" w:firstLine="648"/>
        <w:spacing w:after="0" w:line="269" w:lineRule="auto"/>
        <w:tabs>
          <w:tab w:leader="none" w:pos="194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distributions to any Joint Venture partner, in each case, determined on a consolidated basis in accordance with GAAP; and</w:t>
      </w:r>
    </w:p>
    <w:p>
      <w:pPr>
        <w:spacing w:after="0" w:line="15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items increasing Consolidated Net Income for such period.</w:t>
      </w:r>
    </w:p>
    <w:p>
      <w:pPr>
        <w:spacing w:after="0" w:line="216"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and for all periods, non-cash gains or losses on foreign currency translation in connection with the re-measurement of balance sheet assets and liabilities shall be excluded from the calculation of Consolidated EBITDA;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for the purposes of calculating Consolidated EBITDA for any Measurement Period, (A) if at any time during such Measurement Period (and after the Closing Date), the Company or any of the Restricted Subsidiaries shall have made an Acquisition or converted any Unrestricted Subsidiary into a Restricted Subsidiary, Consolidated EBITDA for such Measurement Period shall be calculated after giving pro forma effect thereto (including pro forma adjustments arising out of events which are directly attributable to such Acquisition or conversion, as applicable, are factually supportable, and are expected to have a continuing impact, as determined on a basis consistent with Article 11 of Regulation S-X promulgated under the Securities Act and as interpreted by the staff of the SEC) or in such other manner acceptable to the Administrative Agent as if any such Acquisition or conversion, as applicable, occurred on the first day of such Measurement Period and (B) if at any time during such Measurement Period (and after the Closing Date), the Company or any of the Restricted Subsidiaries shall have made a disposition of any subsidiary or any division or business line or converted any Restricted Subsidiary to an Unrestricted Subsidiary, Consolidated EBITDA for such Measurement Period shall be calculated as if such disposition or conversion, as applicable, occurred on the first day of such Measurement Period.</w:t>
      </w:r>
    </w:p>
    <w:p>
      <w:pPr>
        <w:spacing w:after="0" w:line="19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Consolidated EBITDA of the Company and the Restricted Subsidiaries shall be calculated to exclude therefrom any Consolidated EBITDA directly attributable to Unrestricted Subsidiaries and non-Wholly-Owned Subsidiaries, but shall include (i) all Consolidated EBITDA directly attributable to any such non-Wholly-Owned Subsidiary that is a Loan Party, (ii) all Consolidated EBITDA (less any distributions to the Joint Venture partner (other than the Company or its Subsidiaries) in respect of such non-Wholly-Owned Subsidiary) directly attributable to any such non-Wholly-Owned Subsidiary (x) that is not a Loan Party and (y) all of the assets of which are subject to a perfected security interest in favor of the Company or a Designated Borrower, as the case may be, pursuant to security arrangements reasonably acceptable to the Administrative Agent (it being understood that the only method of perfection shall be</w:t>
      </w:r>
    </w:p>
    <w:p>
      <w:pPr>
        <w:spacing w:after="0" w:line="7" w:lineRule="exact"/>
        <w:rPr>
          <w:sz w:val="20"/>
          <w:szCs w:val="20"/>
          <w:color w:val="auto"/>
        </w:rPr>
      </w:pPr>
    </w:p>
    <w:p>
      <w:pPr>
        <w:jc w:val="both"/>
        <w:ind w:left="300" w:right="299" w:hanging="8"/>
        <w:spacing w:after="0"/>
        <w:tabs>
          <w:tab w:leader="none" w:pos="5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with respect to assets of the U.S. Subsidiaries, (y) the filing of PPSA financing statements with respect to the assets of the Canadian Subsidiaries and (z) to the extent such equivalent exists, the equivalent with respect to the assets of any other Foreign Subsidiaries or, if no such equivalent exists, such other methods of perfection as are required to achieve substantially equivalent perfection) and (iii) the amount of any cash dividends or distributions actually received in the relevant period by the Company from any such non-Wholly-Owned Subsidiary or any such Unrestricted Subsidiary (x) that is not a Loan Party and (y) all of the assets of which are not subject to a perfected security interest in favor of the Company or a Designated Borrower, as the case may be, pursuant to security arrangements described in clause (ii) above.</w:t>
      </w:r>
    </w:p>
    <w:p>
      <w:pPr>
        <w:spacing w:after="0" w:line="19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the ratio of (a) Consolidated EBITDA for the most recently ended Measurement Period to (b) the Consolidated Interest Expense for such Measurement Period.</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period, for the Company and its Restricted Subsidiaries on a consolidated basis in accordance with GAAP, the sum of (a) total interest expense,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5" w:name="page26"/>
    <w:bookmarkEnd w:id="25"/>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including without limitation, the portion of rent expense of the Company and its Restricted Subsidiaries with respect to such period under finance leases that is treated as interest in accordance with GAAP (whether or not actually paid during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net amount payable (or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net amount receivable) under Hedge Agreements during such period (whether or not actually paid or received during such period).</w:t>
      </w:r>
    </w:p>
    <w:p>
      <w:pPr>
        <w:spacing w:after="0" w:line="185" w:lineRule="exact"/>
        <w:rPr>
          <w:sz w:val="20"/>
          <w:szCs w:val="20"/>
          <w:color w:val="auto"/>
        </w:rPr>
      </w:pPr>
    </w:p>
    <w:p>
      <w:pPr>
        <w:jc w:val="both"/>
        <w:ind w:left="300" w:right="299" w:firstLine="73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means, as of any date of determination, the ratio of (a) (x) Consolidated Total Indebtedness for the most recently ended Measurement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Liquidity as of such date to (b) Consolidated EBITDA for such Measurement Period.</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Measurement Period ending on the date of computation thereof, the net income (or loss) of the Company and the Restricted Subsidiaries for such period determined on a consolidated basis in accordance with GAAP, but excluding therefrom (to the extent otherwise included therein and without duplication) (a) any extraordinary gains or losses, (b) any gains attributable to write-ups of assets, and (c) any Equity Interest of the Company or any Restricted Subsidiary in the unremitted earnings of any Person that is not a Restricted Subsidiary.</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xml:space="preserve">” means, on any date of computation, Consolidated Total Assets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intangible assets of the Company and the Restricted Subsidiaries on such date.</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for the Company and the Restricted Subsidiaries on the date of computation thereof, determined on a consolidated basis in accordance with GAAP, the aggregate book value of the assets of the Company and the Restricted Subsidiaries for such date.</w:t>
      </w:r>
    </w:p>
    <w:p>
      <w:pPr>
        <w:spacing w:after="0" w:line="174"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Indebtedness</w:t>
      </w:r>
      <w:r>
        <w:rPr>
          <w:rFonts w:ascii="Times New Roman" w:cs="Times New Roman" w:eastAsia="Times New Roman" w:hAnsi="Times New Roman"/>
          <w:sz w:val="19"/>
          <w:szCs w:val="19"/>
          <w:color w:val="auto"/>
        </w:rPr>
        <w:t xml:space="preserve">” means, as of any date of determination, without duplication, all Indebtedness of the Company and the Restricted Subsidiaries (other than (i) as described in </w:t>
      </w:r>
      <w:r>
        <w:rPr>
          <w:rFonts w:ascii="Times New Roman" w:cs="Times New Roman" w:eastAsia="Times New Roman" w:hAnsi="Times New Roman"/>
          <w:sz w:val="19"/>
          <w:szCs w:val="19"/>
          <w:u w:val="single" w:color="auto"/>
          <w:color w:val="auto"/>
        </w:rPr>
        <w:t>clause (k)</w:t>
      </w:r>
      <w:r>
        <w:rPr>
          <w:rFonts w:ascii="Times New Roman" w:cs="Times New Roman" w:eastAsia="Times New Roman" w:hAnsi="Times New Roman"/>
          <w:sz w:val="19"/>
          <w:szCs w:val="19"/>
          <w:color w:val="auto"/>
        </w:rPr>
        <w:t xml:space="preserve"> under the definition of “Indebtedness” herein and (ii) reimbursement obligations in respect of undrawn letters of credit), determined on a consolidated basis in accordance with GAAP, including, but not limited to, all of the Obligations that would constitute Indebtedness. For purposes of determining “</w:t>
      </w:r>
      <w:r>
        <w:rPr>
          <w:rFonts w:ascii="Times New Roman" w:cs="Times New Roman" w:eastAsia="Times New Roman" w:hAnsi="Times New Roman"/>
          <w:sz w:val="19"/>
          <w:szCs w:val="19"/>
          <w:u w:val="single" w:color="auto"/>
          <w:color w:val="auto"/>
        </w:rPr>
        <w:t>Consolidated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Total Indebtedness</w:t>
      </w:r>
      <w:r>
        <w:rPr>
          <w:rFonts w:ascii="Times New Roman" w:cs="Times New Roman" w:eastAsia="Times New Roman" w:hAnsi="Times New Roman"/>
          <w:sz w:val="19"/>
          <w:szCs w:val="19"/>
          <w:color w:val="auto"/>
        </w:rPr>
        <w:t>”, the principal amount of any Synthetic Lease Obligation shall be deemed to be the amount that would be reflected on the balance sheet of the Company and the Restricted Subsidiaries if such Synthetic Lease Obligation were characterized as a finance lease rather than an operating lease.</w:t>
      </w:r>
    </w:p>
    <w:p>
      <w:pPr>
        <w:spacing w:after="0" w:line="173"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(a)A Borrowing and (b) an L/C Credit Extension.</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with respect to any applicable determination date, the rate per annum equal to SOFR published on the second U.S. Government Securities Business Day preceding such date by the SOFR Administrator on the Federal Reserve Bank of New York’s website (or any successor source);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6" w:name="page27"/>
    <w:bookmarkEnd w:id="26"/>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provided however, that if such determination date is not a U.S. Government Securities Business Day, then Daily Simple SOFR means such rate that applied on the first U.S. Government Securities Business Day immediately prior thereto. Any change in Daily Simple SOFR shall be effective from and including the date of such change without further notice. If the rate as so determined would be less than 0.00%, such rate shall be deemed to be 0.00% for purposes of this Agreement.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at a rate based on Daily Simple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SOFR.</w:t>
      </w:r>
    </w:p>
    <w:p>
      <w:pPr>
        <w:spacing w:after="0" w:line="19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xml:space="preserve">” means the Bankruptcy Code of the United States, and all other liquidation, conservatorship, bankruptcy, assignment for the benefit of creditors, moratorium, rearrangement, receivership, insolvency, </w:t>
      </w:r>
      <w:r>
        <w:rPr>
          <w:rFonts w:ascii="Times New Roman" w:cs="Times New Roman" w:eastAsia="Times New Roman" w:hAnsi="Times New Roman"/>
          <w:sz w:val="20"/>
          <w:szCs w:val="20"/>
          <w:i w:val="1"/>
          <w:iCs w:val="1"/>
          <w:color w:val="auto"/>
        </w:rPr>
        <w:t>concurso</w:t>
      </w:r>
      <w:r>
        <w:rPr>
          <w:rFonts w:ascii="Times New Roman" w:cs="Times New Roman" w:eastAsia="Times New Roman" w:hAnsi="Times New Roman"/>
          <w:sz w:val="20"/>
          <w:szCs w:val="20"/>
          <w:color w:val="auto"/>
        </w:rPr>
        <w:t>, reorganization, or similar debtor relief Laws of the United States or other applicable jurisdictions from time to time in effect.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Applicable Rate, if any, applicable to Base Rate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(iii) 2% per annum;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with respect to a Daily Simple SOFR Loan, Term SOFR Loan or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per annum.</w:t>
      </w:r>
    </w:p>
    <w:p>
      <w:pPr>
        <w:spacing w:after="0" w:line="173"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 w:name="page28"/>
    <w:bookmarkEnd w:id="27"/>
    <w:p>
      <w:pPr>
        <w:jc w:val="both"/>
        <w:ind w:left="300" w:right="299"/>
        <w:spacing w:after="0" w:line="260" w:lineRule="auto"/>
        <w:rPr>
          <w:sz w:val="20"/>
          <w:szCs w:val="20"/>
          <w:color w:val="auto"/>
        </w:rPr>
      </w:pPr>
      <w:r>
        <w:rPr>
          <w:rFonts w:ascii="Times New Roman" w:cs="Times New Roman" w:eastAsia="Times New Roman" w:hAnsi="Times New Roman"/>
          <w:sz w:val="19"/>
          <w:szCs w:val="19"/>
          <w:color w:val="auto"/>
        </w:rPr>
        <w:t xml:space="preserve">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Borrower Request and Assumption Agreement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region or territory to the extent that such country, region or territory itself is the subject of any Sanction.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Person (including in each case by way of Division),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“Division.”</w:t>
      </w:r>
    </w:p>
    <w:p>
      <w:pPr>
        <w:spacing w:after="0" w:line="216" w:lineRule="exact"/>
        <w:rPr>
          <w:sz w:val="20"/>
          <w:szCs w:val="20"/>
          <w:color w:val="auto"/>
        </w:rPr>
      </w:pPr>
    </w:p>
    <w:p>
      <w:pPr>
        <w:jc w:val="both"/>
        <w:ind w:left="300" w:right="299" w:firstLine="36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above shall be conclusive absent manifest error.</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Obligor</w:t>
      </w:r>
      <w:r>
        <w:rPr>
          <w:rFonts w:ascii="Times New Roman" w:cs="Times New Roman" w:eastAsia="Times New Roman" w:hAnsi="Times New Roman"/>
          <w:sz w:val="20"/>
          <w:szCs w:val="20"/>
          <w:color w:val="auto"/>
        </w:rPr>
        <w:t>” means a Loan Party that is a U.S. Person.</w:t>
      </w:r>
    </w:p>
    <w:p>
      <w:pPr>
        <w:spacing w:after="0" w:line="216"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8" w:name="page29"/>
    <w:bookmarkEnd w:id="28"/>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Currency</w:t>
      </w:r>
      <w:r>
        <w:rPr>
          <w:rFonts w:ascii="Times New Roman" w:cs="Times New Roman" w:eastAsia="Times New Roman" w:hAnsi="Times New Roman"/>
          <w:sz w:val="19"/>
          <w:szCs w:val="19"/>
          <w:color w:val="auto"/>
        </w:rPr>
        <w:t xml:space="preserve">” means any lawful currency other than Dollars that is readily available, freely transferable and convertible into Dollars in the international interbank market available to the Lenders or the L/C Issuer, as applicable, in such market and as to which a Dollar Equivalent may be readily calculated. If, after the designation by the Lenders or the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or the Required Lenders, in the case of a Committed Loan, or the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such Lenders or the L/C Issuer, as applicable, or (d) no longer a currency in which the such Lenders are willing to make such Credit Extensions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Disqualifying Event</w:t>
      </w:r>
      <w:r>
        <w:rPr>
          <w:rFonts w:ascii="Times New Roman" w:cs="Times New Roman" w:eastAsia="Times New Roman" w:hAnsi="Times New Roman"/>
          <w:sz w:val="19"/>
          <w:szCs w:val="19"/>
          <w:color w:val="auto"/>
        </w:rPr>
        <w:t>”), then the Administrative Agent shall promptly notify the applicable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3"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official standards (</w:t>
      </w:r>
      <w:r>
        <w:rPr>
          <w:rFonts w:ascii="Times New Roman" w:cs="Times New Roman" w:eastAsia="Times New Roman" w:hAnsi="Times New Roman"/>
          <w:sz w:val="20"/>
          <w:szCs w:val="20"/>
          <w:i w:val="1"/>
          <w:iCs w:val="1"/>
          <w:color w:val="auto"/>
        </w:rPr>
        <w:t>normas tecnicas</w:t>
      </w:r>
      <w:r>
        <w:rPr>
          <w:rFonts w:ascii="Times New Roman" w:cs="Times New Roman" w:eastAsia="Times New Roman" w:hAnsi="Times New Roman"/>
          <w:sz w:val="20"/>
          <w:szCs w:val="20"/>
          <w:color w:val="auto"/>
        </w:rPr>
        <w:t>), decrees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 Loan Party or any of their respective Restricted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 w:name="page30"/>
    <w:bookmarkEnd w:id="29"/>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other consensual arrangement pursuant to which liability is assumed or imposed with respect to any of the foregoing.</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9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any Subsidiary that is not a Wholly-Owned Subsidiary of the Company or (b) any Subsidiary to the extent guaranteeing the Obligations would conflict with applicable Law.</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0" w:name="page31"/>
    <w:bookmarkEnd w:id="30"/>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constitute an “eligible contract participant” as defined in the Commodity Exchange Act (determined after giving effect to any “keepwell, support or other agreement” for the benefit of such Loan Party and any and all guarantees of such Loan Party’s Swap Obligations by other Loan Parties) at the time the Guarantee of such Loan Party, or grant by such Loan Party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Guarantee or Lien is or becomes excluded in accordance with the first sentence of this definition.</w:t>
      </w:r>
    </w:p>
    <w:p>
      <w:pPr>
        <w:spacing w:after="0" w:line="189"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or the L/C Issuer, U.S. federal withholding Taxes imposed on amounts payable to or for the account of such Lender or the L/C Issuer with respect to an applicable interest in a Loan, Commitment or Letter of Credit pursuant to a law in effect on the date on which (i) such Lender or the L/C Issuer acquires such interest in the Loan, Commitment or Letter of Credit (other than pursuant to an assignment request by the Company under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or (ii) such Lender or the L/C Issuer changes its Lending Office, except in each case to the extent that, pursuant to </w:t>
      </w:r>
      <w:r>
        <w:rPr>
          <w:rFonts w:ascii="Times New Roman" w:cs="Times New Roman" w:eastAsia="Times New Roman" w:hAnsi="Times New Roman"/>
          <w:sz w:val="19"/>
          <w:szCs w:val="19"/>
          <w:u w:val="single" w:color="auto"/>
          <w:color w:val="auto"/>
        </w:rPr>
        <w:t>Section 3.01(a)(ii)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amounts with respect to such Taxes were payable either to such Lender or the L/C Issuer’s assignor immediately before such Lender or the L/C Issuer became a party hereto or to such Lender or the L/C Issuer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(d) any U.S. federal withholding Taxes imposed pursuant to FATCA, and (e) any U.S. backup withholding Taxes.</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that certain Credit Agreement dated as of March 16, 2023, among the Company, certain Subsidiaries of the Company, Bank of America, N.A., as agent, and a syndicate of lenders.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the letters of credit described in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xml:space="preserve">” means any tranche of Commitments the maturity of which shall have been extended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means any Loans made pursuant to the Extended Revolving Commitments.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means any tranche of Incremental Term Loans the maturity of which shall have been extended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means an amendment to this Agreement (which may, at the option of the Administrative Agent and the Company, be in the form of an amendment and restatement of this Agreement) among the Loan Parties, the applicable extending Lenders, the Administrative Agent and, to the extent required by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the L/C Issuers and/or the Swing Line Lenders implementing an Extension in accordance with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2.21(a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 w:name="page32"/>
    <w:bookmarkEnd w:id="31"/>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xml:space="preserve">” means the Committed Facility or any other facility added hereunder from time to time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as the context may require.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w:t>
      </w:r>
    </w:p>
    <w:p>
      <w:pPr>
        <w:spacing w:after="0" w:line="22" w:lineRule="exact"/>
        <w:rPr>
          <w:sz w:val="20"/>
          <w:szCs w:val="20"/>
          <w:color w:val="auto"/>
        </w:rPr>
      </w:pPr>
    </w:p>
    <w:p>
      <w:pPr>
        <w:jc w:val="both"/>
        <w:ind w:left="300" w:right="299" w:hanging="8"/>
        <w:spacing w:after="0"/>
        <w:tabs>
          <w:tab w:leader="none" w:pos="58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Commitments have terminated, (b) all Guaranteed Obligations have been paid in full (other than (i) contingent indemnification obligations and reimbursement Obligations in respect of which no claim has been asserted and (ii) obligations and liabilities under Secured Cash Management Agreements and Secured Hedge Agreements as to which arrangements reasonably satisfactory to the applicable Cash Management Bank or Hedge Bank shall have been made), and (c) all Letters of Credit have terminated or expired (other than Letters of Credit that have been Cash Collateralized or as to which other arrangements with respect thereto reasonably satisfactory to the Administrative Agent and the L/C Issuers shall have been made).</w:t>
      </w:r>
    </w:p>
    <w:p>
      <w:pPr>
        <w:spacing w:after="0" w:line="19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shall mean, with respect to Albert Nahmad, any spouse, child (including any child by adoption and any child as to whom Albert Nahmad or his spouse has legal custody), and grandchild (including by adoption) and/or their respective spouses.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w:t>
      </w:r>
      <w:r>
        <w:rPr>
          <w:rFonts w:ascii="Times New Roman" w:cs="Times New Roman" w:eastAsia="Times New Roman" w:hAnsi="Times New Roman"/>
          <w:sz w:val="20"/>
          <w:szCs w:val="20"/>
          <w:color w:val="auto"/>
        </w:rPr>
        <w:t>” means the Financial Accounting Standards Board.</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FASB.</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8"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Federal Funds Rate as so determined would be less than 0.0%, such rate shall be deemed to be 0.0% for purposes of this Agreement.</w:t>
      </w:r>
    </w:p>
    <w:p>
      <w:pPr>
        <w:spacing w:after="0" w:line="173"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September 29, 2026, among the Company, the Administrative Agent and BofA Securities.</w:t>
      </w:r>
    </w:p>
    <w:p>
      <w:pPr>
        <w:spacing w:after="0" w:line="159" w:lineRule="exact"/>
        <w:rPr>
          <w:sz w:val="20"/>
          <w:szCs w:val="20"/>
          <w:color w:val="auto"/>
        </w:rPr>
      </w:pPr>
    </w:p>
    <w:p>
      <w:pPr>
        <w:jc w:val="both"/>
        <w:ind w:left="300" w:right="299" w:firstLine="3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finance lease obligations on a balance sheet of such Person under GAAP, and the amount of such obligations shall be the capitalized amount thereof determined in accordance with GAAP.</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Holding Company</w:t>
      </w:r>
      <w:r>
        <w:rPr>
          <w:rFonts w:ascii="Times New Roman" w:cs="Times New Roman" w:eastAsia="Times New Roman" w:hAnsi="Times New Roman"/>
          <w:sz w:val="20"/>
          <w:szCs w:val="20"/>
          <w:color w:val="auto"/>
        </w:rPr>
        <w:t>” means any U.S. Subsidiary, all or substantially all of the assets of which consist of Equity Interests in one or more CFCs or CFC Debt.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 w:name="page33"/>
    <w:bookmarkEnd w:id="32"/>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purposes. For purposes of this definition, the United States, each State thereof and the District of Columbia shall be deemed to constitute a single jurisdiction.</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Obligations</w:t>
      </w:r>
      <w:r>
        <w:rPr>
          <w:rFonts w:ascii="Times New Roman" w:cs="Times New Roman" w:eastAsia="Times New Roman" w:hAnsi="Times New Roman"/>
          <w:sz w:val="20"/>
          <w:szCs w:val="20"/>
          <w:color w:val="auto"/>
        </w:rPr>
        <w:t xml:space="preserve">” means all Guaranteed Obligations other than Obligations arising from Loans or Commitments made to, or Letters of Credit issued for the account of, any Domestic Obligor and other than Additional Obligations of a Domestic Obligor or U.S.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for the sake of clarity, (i) the Obligations of the Foreign Obligors shall include all of the foregoing with respect to Loans the proceeds of which are used for the benefit of any Foreign Obligor, in which case, such proceeds shall be deemed Borrowings incurred by such Foreign Obligor and (ii) the obligations of the Foreign Obligors for Foreign Obligations and for Additional Obligations of any Foreign Obligor shall be joint and several.</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organized under the laws of a jurisdiction other than the United States, a State thereof or the District of Columbia.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L/C Issuer, such Defaulting Lender’s Applicable Percentage of the Outstanding Amount of all outstanding L/C Obligations on account of Letters of Credit issued by such L/C Issuer other than L/C Obligations as to which such Defaulting Lender’s participation obligation has been reallocated to other Committed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Committed Lenders in accordance with the terms hereof.</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direct or indirect, of the guarantor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 w:name="page34"/>
    <w:bookmarkEnd w:id="33"/>
    <w:p>
      <w:pPr>
        <w:jc w:val="both"/>
        <w:ind w:left="300" w:right="299"/>
        <w:spacing w:after="0" w:line="257" w:lineRule="auto"/>
        <w:rPr>
          <w:sz w:val="20"/>
          <w:szCs w:val="20"/>
          <w:color w:val="auto"/>
        </w:rPr>
      </w:pPr>
      <w:r>
        <w:rPr>
          <w:rFonts w:ascii="Times New Roman" w:cs="Times New Roman" w:eastAsia="Times New Roman" w:hAnsi="Times New Roman"/>
          <w:sz w:val="19"/>
          <w:szCs w:val="19"/>
          <w:color w:val="auto"/>
        </w:rPr>
        <w:t xml:space="preserve">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in support of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shall not include endorsements for collection or deposits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7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Cash Management Agreement</w:t>
      </w:r>
      <w:r>
        <w:rPr>
          <w:rFonts w:ascii="Times New Roman" w:cs="Times New Roman" w:eastAsia="Times New Roman" w:hAnsi="Times New Roman"/>
          <w:sz w:val="20"/>
          <w:szCs w:val="20"/>
          <w:color w:val="auto"/>
        </w:rPr>
        <w:t>” means any Cash Management Agreement between any Loan Party or any Restricted Subsidiary and any Cash Management Bank.</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Hedge Agreement</w:t>
      </w:r>
      <w:r>
        <w:rPr>
          <w:rFonts w:ascii="Times New Roman" w:cs="Times New Roman" w:eastAsia="Times New Roman" w:hAnsi="Times New Roman"/>
          <w:sz w:val="20"/>
          <w:szCs w:val="20"/>
          <w:color w:val="auto"/>
        </w:rPr>
        <w:t>” means any Hedge Agreement between any Loan Party or any Restricted Subsidiary and any Hedge Bank.</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means all Obligations and all Additional Obligations.</w:t>
      </w:r>
    </w:p>
    <w:p>
      <w:pPr>
        <w:spacing w:after="0" w:line="21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Parties</w:t>
      </w:r>
      <w:r>
        <w:rPr>
          <w:rFonts w:ascii="Times New Roman" w:cs="Times New Roman" w:eastAsia="Times New Roman" w:hAnsi="Times New Roman"/>
          <w:sz w:val="20"/>
          <w:szCs w:val="20"/>
          <w:color w:val="auto"/>
        </w:rPr>
        <w:t xml:space="preserve">” means, collectively, the Administrative Agent, the Lenders (including Designated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9.05</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Party Designation Notice</w:t>
      </w:r>
      <w:r>
        <w:rPr>
          <w:rFonts w:ascii="Times New Roman" w:cs="Times New Roman" w:eastAsia="Times New Roman" w:hAnsi="Times New Roman"/>
          <w:sz w:val="20"/>
          <w:szCs w:val="20"/>
          <w:color w:val="auto"/>
        </w:rPr>
        <w:t xml:space="preserve">” means a notice from any Lender or an Affiliate of a Lender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means that certain Guaranty Agreement dated as of the Closing Date, made by the Company, each Designated Borrower, and the other Subsidiary Guarantors in favor of the Administrative Agent and the Lenders, as amended, modified, extended, restated, replaced, or supplemented from time to time.</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a Guaranteed Hedge Agreement with a Person who is no longer a Lender (or Affiliate of a Lender), such Person shall be considered a Hedge Bank only through the stated termination date (without extension or renewal) of such Guaranteed Hedge Agreement;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for any of the foregoing to be included as a “Guaranteed Hedge Agreement” on any date of determination by the Administrative Agent, the applicable Hedge Bank (other than the Administrative Agent or an Affiliate of the Administrative Agent) must have delivered a Guaranteed Party Designation Notice to the Administrative Agent prior to such date of determination.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 w:name="page35"/>
    <w:bookmarkEnd w:id="34"/>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means each Subsidiary of the Company that is not a Material Subsidiary.</w:t>
      </w:r>
    </w:p>
    <w:p>
      <w:pPr>
        <w:spacing w:after="0" w:line="2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whether or not included as indebtedness or liabilities in accordance with GAAP:</w:t>
      </w:r>
    </w:p>
    <w:p>
      <w:pPr>
        <w:spacing w:after="0" w:line="159" w:lineRule="exact"/>
        <w:rPr>
          <w:sz w:val="20"/>
          <w:szCs w:val="20"/>
          <w:color w:val="auto"/>
        </w:rPr>
      </w:pPr>
    </w:p>
    <w:p>
      <w:pPr>
        <w:ind w:left="1940" w:hanging="352"/>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w:t>
      </w:r>
    </w:p>
    <w:p>
      <w:pPr>
        <w:spacing w:after="0" w:line="215"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or other similar</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w:t>
      </w:r>
    </w:p>
    <w:p>
      <w:pPr>
        <w:spacing w:after="0" w:line="193" w:lineRule="exact"/>
        <w:rPr>
          <w:rFonts w:ascii="Times New Roman" w:cs="Times New Roman" w:eastAsia="Times New Roman" w:hAnsi="Times New Roman"/>
          <w:sz w:val="20"/>
          <w:szCs w:val="20"/>
          <w:color w:val="auto"/>
        </w:rPr>
      </w:pPr>
    </w:p>
    <w:p>
      <w:pPr>
        <w:ind w:left="940" w:right="299" w:firstLine="648"/>
        <w:spacing w:after="0" w:line="26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the deferred purchase price of property or services (other than trade payables incurred in the ordinary course of business);</w:t>
      </w:r>
    </w:p>
    <w:p>
      <w:pPr>
        <w:spacing w:after="0" w:line="15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any conditional sale or other title retention agreement(s) relating to property acquired by such Person;</w:t>
      </w:r>
    </w:p>
    <w:p>
      <w:pPr>
        <w:spacing w:after="0" w:line="15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Finance Lease Obligations of such Person;</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contingent or otherwise, of such Person in respect of letters of credit, acceptances or similar extensions of credit;</w:t>
      </w:r>
    </w:p>
    <w:p>
      <w:pPr>
        <w:spacing w:after="0" w:line="15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Guarantees of such Person of the type of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a third party secured by any Lien on property owned by such Person, whether or not such Indebtedness has been assumed by such Person;</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contingent or otherwise, to purchase, redeem, retire or otherwise acquire for value any common stock of such Person (other than any obligation of a Loan Party or Restricted Subsidiary to acquire any Equity Interests of Sigler that are not owned by the Company and its Subsidiaries on the Closing Date);</w:t>
      </w:r>
    </w:p>
    <w:p>
      <w:pPr>
        <w:spacing w:after="0" w:line="17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Off-Balance Sheet Liabilities; and</w:t>
      </w:r>
    </w:p>
    <w:p>
      <w:pPr>
        <w:spacing w:after="0" w:line="215"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any Hedge Agreements.</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The Indebtedness of any Person shall include the Indebtedness of any other entity (including any partnership in which such Person is a general partner) to the extent such Person is liable therefor as a result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 w:name="page36"/>
    <w:bookmarkEnd w:id="35"/>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of such Person’s ownership interest in or other relationship with such entity, except to the extent the terms of such Indebtedness provide that such Person is not liable therefor. The amount of any net obligation under any Swap Contract on any date shall be deemed to be the Swap Termination Value thereof as of such date.</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Base Rate Loan (including a Swing Line Loan), Daily Simple SOFR Loan and any Alternative Currency Daily Rate Loan, the last Business Day of each March, June, September and December and the Maturity Date; and (b) as to any Term SOFR Loan and any Alternative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Term SOFR Loan or an Alternative Currency Term Rate Loan exceeds three months, the respective dates that fall every three months after the beginning of such Interest Period shall be Interest Payment Dates.</w:t>
      </w:r>
    </w:p>
    <w:p>
      <w:pPr>
        <w:spacing w:after="0" w:line="18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Alternative Currency Term Rate Loan and Term SOFR Loan, the period commencing on the date such Alternative Currency Term Rate Loan or Term SOFR Loan, as applicable, is disbursed or converted to or continued as an Alternative Currency Term Rate Loan or Term SOFR Loan, as applicable, and ending on the date one, three or (except in the case of Loans denominated in Canadian Dollars) six months thereafter (in each case, subject to availability), as selected by the Company in its Committed Loan Notice, or such other period that is twelve months or less (including one week) requested by the Company and consented to by all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sz w:val="20"/>
          <w:szCs w:val="20"/>
          <w:color w:val="auto"/>
        </w:rPr>
      </w:pPr>
    </w:p>
    <w:p>
      <w:pPr>
        <w:jc w:val="both"/>
        <w:ind w:left="940" w:right="319" w:firstLine="648"/>
        <w:spacing w:after="0" w:line="274" w:lineRule="auto"/>
        <w:tabs>
          <w:tab w:leader="none" w:pos="194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6"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19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w:t>
      </w:r>
    </w:p>
    <w:p>
      <w:pPr>
        <w:spacing w:after="0" w:line="2" w:lineRule="exact"/>
        <w:rPr>
          <w:sz w:val="20"/>
          <w:szCs w:val="20"/>
          <w:color w:val="auto"/>
        </w:rPr>
      </w:pPr>
    </w:p>
    <w:p>
      <w:pPr>
        <w:jc w:val="both"/>
        <w:ind w:left="300" w:right="299" w:hanging="8"/>
        <w:spacing w:after="0"/>
        <w:tabs>
          <w:tab w:leader="none" w:pos="59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6" w:name="page37"/>
    <w:bookmarkEnd w:id="36"/>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Venture</w:t>
      </w:r>
      <w:r>
        <w:rPr>
          <w:rFonts w:ascii="Times New Roman" w:cs="Times New Roman" w:eastAsia="Times New Roman" w:hAnsi="Times New Roman"/>
          <w:sz w:val="19"/>
          <w:szCs w:val="19"/>
          <w:color w:val="auto"/>
        </w:rPr>
        <w:t>” means any joint venture in which the Company has a direct or indirect ownership</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interest.</w:t>
      </w:r>
    </w:p>
    <w:p>
      <w:pPr>
        <w:spacing w:after="0" w:line="19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JV Operating Agreement</w:t>
      </w:r>
      <w:r>
        <w:rPr>
          <w:rFonts w:ascii="Times New Roman" w:cs="Times New Roman" w:eastAsia="Times New Roman" w:hAnsi="Times New Roman"/>
          <w:sz w:val="20"/>
          <w:szCs w:val="20"/>
          <w:color w:val="auto"/>
        </w:rPr>
        <w:t>” means the Operating Agreement of Carrier Enterprise, LLC (Amended and Restated) dated July 1, 2009.</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or expiration date applicable to any Loan or Commitment hereunder at such time, including the latest maturity date of any Incremental Term Loan, in each case as extended in accordance with this Agreement from time to time.</w:t>
      </w:r>
    </w:p>
    <w:p>
      <w:pPr>
        <w:spacing w:after="0" w:line="18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Committed Lender, such Lender’s funding of its participation in any L/C Borrowing in accordance with its Applicable Percentage. All L/C Advances shall be denominated in Dollars.</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Committed Borrowing. All L/C Borrowings shall be denominated in Dollars.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means, as to each L/C Issuer, its obligation to issue Letters of Credit to the Borrowers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in an initial amount not to exceed the amount set forth opposite such L/C Issuer’s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heading “L/C Commitment” or, as the case may be, opposite such Lender’s name in the Assignment and Assumption pursuant to which such Lender became a party hereto, as such amount may be adjusted from time to time in accordance with this Agreement.</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xml:space="preserve">” means, individually or collectively as the context may indicate, each of Bank of America and each other Lender designated by the Company as an “L/C Issuer” hereunder that has agreed to such designation (and is reasonably acceptable to the Administrative Agent), each in its capacity as the issuer of Letters of Credit hereunder, and its successors in such capacity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Any L/C Issuer may, in its discretion, arrange for one or more Letters of Credit to be issued by Affiliates of such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7" w:name="page38"/>
    <w:bookmarkEnd w:id="37"/>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L/C Issuer, in which case the term “L/C Issuer” shall include any such Affiliate with respect to Letters of Credit issued by such Affiliate.</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3.13 or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Committed Lender shall remain in full force and effect until the L/C Issuers and the Committed Lenders shall have no further obligations to make any payments or disbursements under any circumstances with respect to any Letter of Credit.</w:t>
      </w:r>
    </w:p>
    <w:p>
      <w:pPr>
        <w:spacing w:after="0" w:line="18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hereto and, unless the context requires otherwise, includes the Swing Line Lender. The term “Lender” shall include any Designated Lender.</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 Line Lender and the L/C Issuers.</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providing for the payment of cash upon the honoring of a presentation thereunder and shall include the Existing Letters of Credit.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 Report</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$10,000,000 and (b) the Aggregate Commitments. The Letter of Credit Sublimit is part of, and not in addition to, the Aggregate Commitments.</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8" w:name="page39"/>
    <w:bookmarkEnd w:id="38"/>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conditional sale or other title retention agreement, any easement, right of way or other encumbrance on title to real property, and any financing lease having substantially the same economic effect as any of the foregoing).</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Acquisition or any Investment that (a) is not prohibited hereunder and (b) is not conditioned on the availability of, or on obtaining, third-party financing.</w:t>
      </w:r>
    </w:p>
    <w:p>
      <w:pPr>
        <w:spacing w:after="0" w:line="174" w:lineRule="exact"/>
        <w:rPr>
          <w:sz w:val="20"/>
          <w:szCs w:val="20"/>
          <w:color w:val="auto"/>
        </w:rPr>
      </w:pPr>
    </w:p>
    <w:p>
      <w:pPr>
        <w:jc w:val="both"/>
        <w:ind w:left="300" w:right="319"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Liquidity</w:t>
      </w:r>
      <w:r>
        <w:rPr>
          <w:rFonts w:ascii="Times New Roman" w:cs="Times New Roman" w:eastAsia="Times New Roman" w:hAnsi="Times New Roman"/>
          <w:sz w:val="19"/>
          <w:szCs w:val="19"/>
          <w:color w:val="auto"/>
        </w:rPr>
        <w:t xml:space="preserve">” means, as of any date of determination, the excess (if any) of (i) the aggregate amount of unrestricted and unencumbered cash maintained by the Company in the United States of America </w:t>
      </w:r>
      <w:r>
        <w:rPr>
          <w:rFonts w:ascii="Times New Roman" w:cs="Times New Roman" w:eastAsia="Times New Roman" w:hAnsi="Times New Roman"/>
          <w:sz w:val="19"/>
          <w:szCs w:val="19"/>
          <w:u w:val="single" w:color="auto"/>
          <w:color w:val="auto"/>
        </w:rPr>
        <w:t>over</w:t>
      </w:r>
    </w:p>
    <w:p>
      <w:pPr>
        <w:ind w:left="300" w:right="299" w:hanging="8"/>
        <w:spacing w:after="0" w:line="246" w:lineRule="auto"/>
        <w:tabs>
          <w:tab w:leader="none" w:pos="5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Liquidity shall be equal to $0 if there are any Loans outstanding as of such date.</w:t>
      </w:r>
    </w:p>
    <w:p>
      <w:pPr>
        <w:spacing w:after="0" w:line="182"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Committed Loan or a Swing Line Loan.</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this Agreement, each Designated Borrower Request and Assumption Agreement, each Note,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Fee Letter, the Guaranty and all other certificates, agreements, documents and instruments executed and delivered, in each case, by or on behalf of any Loan Party pursuant to the foregoing (but specifically excluding any Guaranteed Hedge Agreement or any Guaranteed Cash Management Agreement).</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Company, each Subsidiary Guarantor and each Designated Borrower.</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results of operations, financial condition, assets or liabilities of the Company and the Restricted Subsidiaries taken as a whole; (b) the ability of the Loan Parties to perform their material obligations under this Agreement; or (c) the validity or enforceability of any Loan Document or the rights or remedies of the Administrative Agent and the Lenders thereunder.</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Agreement</w:t>
      </w:r>
      <w:r>
        <w:rPr>
          <w:rFonts w:ascii="Times New Roman" w:cs="Times New Roman" w:eastAsia="Times New Roman" w:hAnsi="Times New Roman"/>
          <w:sz w:val="20"/>
          <w:szCs w:val="20"/>
          <w:color w:val="auto"/>
        </w:rPr>
        <w:t xml:space="preserve">” means any agreement filed pursuant to Item 601(b)(10) of Regulation S-K (17 C.F.R. 229,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with the Company’s most recent Annual Report on Form 10-K.</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Asset</w:t>
      </w:r>
      <w:r>
        <w:rPr>
          <w:rFonts w:ascii="Times New Roman" w:cs="Times New Roman" w:eastAsia="Times New Roman" w:hAnsi="Times New Roman"/>
          <w:sz w:val="20"/>
          <w:szCs w:val="20"/>
          <w:color w:val="auto"/>
        </w:rPr>
        <w:t>” means any intellectual property or other asset (including equipment, inventory, contract rights, accounts receivable, securities, Equity Interests and other personal property) that is, individually or in the aggregate, material to the business of the Company and its Restricted Subsidiaries, taken as a whole.</w:t>
      </w:r>
    </w:p>
    <w:p>
      <w:pPr>
        <w:spacing w:after="0" w:line="18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as of any date of determination thereof, any Restricted Subsidiary of the Company that (a) generated more than 5% of Consolidated EBITDA for the Measurement Period most recently ended for which financial information is available (calculated on a pro forma basis in a manner consistent with the adjustments described in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and in a manner consistent with the definition of “Consolidated EBITDA” but appropriately adjusted to apply to the particular group of Persons in question) or (b) owned Consolidated Total Assets (including Equity Interests in other Subsidiaries) equal to or greater than 5% of the Consolidated Total Assets of the Company and its Restricted Subsidiaries, on a consolidated basis as of the end of the Measurement Period most recently ended for which financial information is available (calculated on a pro forma basis in a manner consistent with the adjustments described in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and in a manner consistent with the definition of “Consolidated Total Assets”).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9" w:name="page40"/>
    <w:bookmarkEnd w:id="39"/>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with respect to the Committed Facility, October 21, 2031;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(4) fiscal quarters of the Company (or, for purposes of determining Pro Forma Compliance, the most recently completed four (4) fiscal quarters of the Company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(i) with respect to Cash Collateral consisting of cash or deposit account balances provided to reduce or eliminate Fronting Exposure during the existence of a Defaulting Lender, an amount equal to 105% of the Fronting Exposure of the L/C Issuer with respect to Letters of Credit issued and outstanding at such time, (ii)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105% of the Outstanding Amount of all L/C Obligations, and (iii) otherwise, an amount determined by the Administrative Agent and the L/C Issuer in their sole discretion.</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w:t>
      </w:r>
    </w:p>
    <w:p>
      <w:pPr>
        <w:spacing w:after="0" w:line="22" w:lineRule="exact"/>
        <w:rPr>
          <w:sz w:val="20"/>
          <w:szCs w:val="20"/>
          <w:color w:val="auto"/>
        </w:rPr>
      </w:pPr>
    </w:p>
    <w:p>
      <w:pPr>
        <w:ind w:left="300" w:right="319" w:hanging="8"/>
        <w:spacing w:after="0" w:line="246"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ERISA, to which the Company or any ERISA Affiliate makes or is obligated to make contributions, or during the preceding five plan years, has made or been obligated to make contributions.</w:t>
      </w:r>
    </w:p>
    <w:p>
      <w:pPr>
        <w:spacing w:after="0" w:line="18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each Lender that is not a Defaulting Lender at such</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time.</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promissory note made by a Borrower in favor of a Lender evidencing Loans made by such Lender to such Borrower,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Obligations of a Loan Party shall exclude any Excluded Swap Obligations with respect to such Loan Party.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0" w:name="page41"/>
    <w:bookmarkEnd w:id="40"/>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Liabilities</w:t>
      </w:r>
      <w:r>
        <w:rPr>
          <w:rFonts w:ascii="Times New Roman" w:cs="Times New Roman" w:eastAsia="Times New Roman" w:hAnsi="Times New Roman"/>
          <w:sz w:val="20"/>
          <w:szCs w:val="20"/>
          <w:color w:val="auto"/>
        </w:rPr>
        <w:t>” of any Person shall mean (a) any repurchase obligation or liability of such Person with respect to accounts or notes receivable sold by such Person, (b) any liability of such Person under any sale and leaseback transactions which do not create a liability on the balance sheet of such Person, (c) any Synthetic Lease Obligation or (d) any obligation arising with respect to any other transaction which is the functional equivalent of or takes the place of borrowing but which does not constitute a liability on the balance sheet of such Person.</w:t>
      </w:r>
    </w:p>
    <w:p>
      <w:pPr>
        <w:spacing w:after="0" w:line="18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and organization documents with respect to any non-U.S. jurisdiction); (b) with respect to any limited liability company, the certificate or articles of formation or organization and operating or limited liability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w:t>
      </w:r>
    </w:p>
    <w:p>
      <w:pPr>
        <w:spacing w:after="0" w:line="187"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(i) with respect to Committed Loans on any date, the Dollar Equivalent amount of the aggregate outstanding principal amount thereof after giving effect to any borrowings and prepayments or repayments of such Committed Loans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1" w:name="page42"/>
    <w:bookmarkEnd w:id="41"/>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overnight rate determined by the Administrative Agent or the applicable L/C Issuer, as the case may be, in accordance with banking industry rules on interbank compensation.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Act</w:t>
      </w:r>
      <w:r>
        <w:rPr>
          <w:rFonts w:ascii="Times New Roman" w:cs="Times New Roman" w:eastAsia="Times New Roman" w:hAnsi="Times New Roman"/>
          <w:sz w:val="20"/>
          <w:szCs w:val="20"/>
          <w:color w:val="auto"/>
        </w:rPr>
        <w:t>” means the Pension Protection Act of 2006.</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8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 Acquisition by a Loan Party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xml:space="preserve">”), in each case that is a type of business (or assets used in a type of business) permitted to be engaged in by the Company and its Restricted Subsidiaries pursuant to the terms of this Agreement, in each case so long as the following conditions are satisfied, which in the case of a Limited Condition Transaction shall be subject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940" w:right="319" w:firstLine="648"/>
        <w:spacing w:after="0" w:line="269" w:lineRule="auto"/>
        <w:tabs>
          <w:tab w:leader="none" w:pos="19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then exist or would exist after giving effect thereto (as to which a Responsible Officer shall certify in writing);</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43" w:lineRule="auto"/>
        <w:tabs>
          <w:tab w:leader="none" w:pos="19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demonstrate to the reasonable satisfaction of the Administrative Agent that, after giving effect to the Acquisition on a Pro Forma Basis, (i) the Loan Parties are in Pro Forma Compliance with the covenant set forth in </w:t>
      </w:r>
      <w:r>
        <w:rPr>
          <w:rFonts w:ascii="Times New Roman" w:cs="Times New Roman" w:eastAsia="Times New Roman" w:hAnsi="Times New Roman"/>
          <w:sz w:val="20"/>
          <w:szCs w:val="20"/>
          <w:u w:val="single" w:color="auto"/>
          <w:color w:val="auto"/>
        </w:rPr>
        <w:t>Section 7.11(a)</w:t>
      </w:r>
      <w:r>
        <w:rPr>
          <w:rFonts w:ascii="Times New Roman" w:cs="Times New Roman" w:eastAsia="Times New Roman" w:hAnsi="Times New Roman"/>
          <w:sz w:val="20"/>
          <w:szCs w:val="20"/>
          <w:color w:val="auto"/>
        </w:rPr>
        <w:t xml:space="preserve"> and (ii) either (x) the Consolidated Leverage Ratio shall be no greater than 3.50 to 1.00 (or 4.00 to 1.00 if a Covenant Holiday is in effect), calculated using the same Measurement Period used to determine Pro Forma Compliance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(y) such Acquisition shall be funded solely from the proceeds of issuances of Equity Interests made within six (6) months of such Acquisition;</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purchase price of any such Permitted Acquisition is in excess of $300,000,000, the Administrative Agent and the Lenders shall have received pro forma historical financial statements as of the end of the most recently completed fiscal period of the Company (whether quarterly or year-end) giving effect to such Acquisition and assuming that any Indebtedness incurred to effect such Acquisition shall be deemed to have been outstanding during the Measurement Period of the Company preceding such Acquisition and to have borne a rate of interest during such period equal to that rate in existence at the date of determination, together with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2" w:name="page43"/>
    <w:bookmarkEnd w:id="42"/>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a Compliance Certificate, executed by a Responsible Officer of the Company, prepared on a historical pro forma basis giving effect to such Acquisition as of the most recent fiscal quarter of the Company then ended, which certificate shall demonstrate that no Default or Event of Default would exist immediately after giving effect thereto;</w:t>
      </w:r>
    </w:p>
    <w:p>
      <w:pPr>
        <w:spacing w:after="0" w:line="180" w:lineRule="exact"/>
        <w:rPr>
          <w:sz w:val="20"/>
          <w:szCs w:val="20"/>
          <w:color w:val="auto"/>
        </w:rPr>
      </w:pPr>
    </w:p>
    <w:p>
      <w:pPr>
        <w:jc w:val="both"/>
        <w:ind w:left="940" w:right="299" w:firstLine="648"/>
        <w:spacing w:after="0" w:line="254" w:lineRule="auto"/>
        <w:tabs>
          <w:tab w:leader="none" w:pos="19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line or lines of business of the Target to be (or whose assets are to be) so purchased or acquired are ancillary businesses that support the Borrowers’ existing HVAC/R and plumbing distribution business as well as other distribution lines of business;</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shall be a Restricted Subsidiary, or be merged into or with the Company or one of its Restricted Subsidiaries, immediately upon consummation of the Acquisition (or if assets are being purchased or acquired, the acquirer shall be the Company or one of its Restricted Subsidiaries); and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Bridge Indebtedness</w:t>
      </w:r>
      <w:r>
        <w:rPr>
          <w:rFonts w:ascii="Times New Roman" w:cs="Times New Roman" w:eastAsia="Times New Roman" w:hAnsi="Times New Roman"/>
          <w:sz w:val="20"/>
          <w:szCs w:val="20"/>
          <w:color w:val="auto"/>
        </w:rPr>
        <w:t>” means any customary bridge facility, escrow or similar arrangement of the Company or any Restricted Subsidiary that (a) is issued with the intent to convert such facility into another instrument or product that, if constituting Indebtedness, otherwise would satisfy all applicable maturity and weighted average life limitations or (b) otherwise provides that if such facility is not converted into the intended conversion product, is automatically (subject to the satisfaction of certain conditions) convertible into Indebtedness that satisfies all applicable maturity and weighted average life limitations.</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 Conditions</w:t>
      </w:r>
      <w:r>
        <w:rPr>
          <w:rFonts w:ascii="Times New Roman" w:cs="Times New Roman" w:eastAsia="Times New Roman" w:hAnsi="Times New Roman"/>
          <w:sz w:val="20"/>
          <w:szCs w:val="20"/>
          <w:color w:val="auto"/>
        </w:rPr>
        <w:t>” means, with respect to any applicable Indebtedness in respect of an Incremental Term Loan that such Indebtedness meets each of the following requirements:</w:t>
      </w:r>
    </w:p>
    <w:p>
      <w:pPr>
        <w:spacing w:after="0" w:line="159" w:lineRule="exact"/>
        <w:rPr>
          <w:sz w:val="20"/>
          <w:szCs w:val="20"/>
          <w:color w:val="auto"/>
        </w:rPr>
      </w:pPr>
    </w:p>
    <w:p>
      <w:pPr>
        <w:jc w:val="both"/>
        <w:ind w:left="300" w:right="299" w:firstLine="640"/>
        <w:spacing w:after="0" w:line="256" w:lineRule="auto"/>
        <w:tabs>
          <w:tab w:leader="none" w:pos="130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stated maturity date of such Indebtedness shall be no earlier than, and the terms of such Indebtedness do not provide for any scheduled payment, mandatory repayment or redemption or sinking fund or similar obligations at any time prior to the Latest Maturity Date in effect at the time of such incurrence, assumption or acquisition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may have scheduled payments, mandatory repayments or redemptions or similar obligations prior to its stated maturity so long as (i) such Indebtedness does not have a shorter Weighted Average Life to Maturity than the remaining Weighted Average Life to Maturity of any tranche of term loans then outstanding under this Agreement at the time of incurrence and (ii) such mandatory repayments or redemptions or similar obligations are no more restrictive on the Company or its Restricted Subsidiaries than any tranche of term loans then outstanding under this Agreement at the time of incurrence;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restrictions of this clause (a) shall not apply to the extent such Indebtedness constitutes Permitted Bridge Indebtedness;</w:t>
      </w:r>
    </w:p>
    <w:p>
      <w:pPr>
        <w:spacing w:after="0" w:line="177" w:lineRule="exact"/>
        <w:rPr>
          <w:rFonts w:ascii="Times New Roman" w:cs="Times New Roman" w:eastAsia="Times New Roman" w:hAnsi="Times New Roman"/>
          <w:sz w:val="19"/>
          <w:szCs w:val="19"/>
          <w:color w:val="auto"/>
        </w:rPr>
      </w:pPr>
    </w:p>
    <w:p>
      <w:pPr>
        <w:ind w:left="1300" w:hanging="36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may not be recourse to or Guaranteed by any Person that is not a Loan</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w:t>
      </w:r>
    </w:p>
    <w:p>
      <w:pPr>
        <w:spacing w:after="0" w:line="193"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have pricing (including interest rates, fees and premiums), optional prepayment and redemption terms as may be agreed to by the Company and the lenders or holders of such Indebtedness; and</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above, all other terms and conditions applicable to any Incremental Term Loan shall be consistent with the terms and conditions applicable to the other Loans hereunder or otherwise reasonably satisfactory to the Administrative Agent and the Borrowers.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3" w:name="page44"/>
    <w:bookmarkEnd w:id="43"/>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PPSA</w:t>
      </w:r>
      <w:r>
        <w:rPr>
          <w:rFonts w:ascii="Times New Roman" w:cs="Times New Roman" w:eastAsia="Times New Roman" w:hAnsi="Times New Roman"/>
          <w:sz w:val="20"/>
          <w:szCs w:val="20"/>
          <w:color w:val="auto"/>
        </w:rPr>
        <w:t>” means the Personal Property Security Act (Ontario), the Civil Code of Québec or any other applicable Canadian federal or provincial statute pertaining to the granting, perfecting, priority or ranking of security interests, liens, hypothecs on personal property, and any successor statutes, together with any regulations thereunder, in each case as in effect from time to time. References to sections of the PPSA shall be construed to also refer to any successor sections.</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Placement Debt</w:t>
      </w:r>
      <w:r>
        <w:rPr>
          <w:rFonts w:ascii="Times New Roman" w:cs="Times New Roman" w:eastAsia="Times New Roman" w:hAnsi="Times New Roman"/>
          <w:sz w:val="20"/>
          <w:szCs w:val="20"/>
          <w:color w:val="auto"/>
        </w:rPr>
        <w:t xml:space="preserve">” means Indebtedness for borrowed money issued by the Company in a private placement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following conditions shall be satisfied:</w:t>
      </w:r>
    </w:p>
    <w:p>
      <w:pPr>
        <w:spacing w:after="0" w:line="159" w:lineRule="exact"/>
        <w:rPr>
          <w:sz w:val="20"/>
          <w:szCs w:val="20"/>
          <w:color w:val="auto"/>
        </w:rPr>
      </w:pPr>
    </w:p>
    <w:p>
      <w:pPr>
        <w:ind w:left="940" w:right="319" w:firstLine="648"/>
        <w:spacing w:after="0" w:line="269" w:lineRule="auto"/>
        <w:tabs>
          <w:tab w:leader="none" w:pos="1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scheduled maturity date of such Indebtedness shall be no earlier than the date that is 91 days after the Maturity Date;</w:t>
      </w:r>
    </w:p>
    <w:p>
      <w:pPr>
        <w:spacing w:after="0" w:line="15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be unsecured;</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such Indebtedness shall, at all times, be greater than the sum of (i) the aggregate number of days remaining as of such date until (and including) the Maturity Date plus (ii) 91 days;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instruments and agreements evidencing such Indebtedness, and any agreement under which such Indebtedness, and any agreement under which such Indebtedness is created, shall provide that the right to payment of the holders or owners of such Indebtedness (including any trustee or agent acting on behalf of such holders or owners, collectively “</w:t>
      </w: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Debt Holders</w:t>
      </w:r>
      <w:r>
        <w:rPr>
          <w:rFonts w:ascii="Times New Roman" w:cs="Times New Roman" w:eastAsia="Times New Roman" w:hAnsi="Times New Roman"/>
          <w:sz w:val="20"/>
          <w:szCs w:val="20"/>
          <w:color w:val="auto"/>
        </w:rPr>
        <w:t xml:space="preserve">”) shall either be subordinate to or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all respects with the rights of the Lenders and the Administrative Agent to payment and performance of the Obligations and the negative covenants therein shall not be in conflict with or more restrictive than those contained in this Agreement;</w:t>
      </w:r>
    </w:p>
    <w:p>
      <w:pPr>
        <w:spacing w:after="0" w:line="189" w:lineRule="exact"/>
        <w:rPr>
          <w:rFonts w:ascii="Times New Roman" w:cs="Times New Roman" w:eastAsia="Times New Roman" w:hAnsi="Times New Roman"/>
          <w:sz w:val="20"/>
          <w:szCs w:val="20"/>
          <w:color w:val="auto"/>
        </w:rPr>
      </w:pPr>
    </w:p>
    <w:p>
      <w:pPr>
        <w:ind w:left="940" w:right="319" w:firstLine="648"/>
        <w:spacing w:after="0" w:line="295" w:lineRule="auto"/>
        <w:tabs>
          <w:tab w:leader="none" w:pos="194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 immediately prior to and immediately after giving effect to the issuance of such Indebtedness, there shall not have occurred and be continuing any Default or Event of Default;</w:t>
      </w:r>
    </w:p>
    <w:p>
      <w:pPr>
        <w:spacing w:after="0" w:line="137" w:lineRule="exact"/>
        <w:rPr>
          <w:rFonts w:ascii="Times New Roman" w:cs="Times New Roman" w:eastAsia="Times New Roman" w:hAnsi="Times New Roman"/>
          <w:sz w:val="19"/>
          <w:szCs w:val="19"/>
          <w:color w:val="auto"/>
        </w:rPr>
      </w:pPr>
    </w:p>
    <w:p>
      <w:pPr>
        <w:jc w:val="both"/>
        <w:ind w:left="940" w:right="319" w:firstLine="648"/>
        <w:spacing w:after="0" w:line="246" w:lineRule="auto"/>
        <w:tabs>
          <w:tab w:leader="none" w:pos="1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furnish to the Administrative Agent, not later than the earliest date of delivery thereof to any actual or prospective Private Placement Debt Holder, copies of (i) all preliminary placement memoranda and final placement memoranda relating to such Indebtedness and (ii) drafts of all documents and agreements under which such Indebtedness is to be created or governed; and</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ten (10) days prior to the issuance of such Indebtedness, the Company shall deliver to the Administrative Agent a Compliance Certificate, executed by a Responsible Officer of the Company and containing calculations giving historical pro forma effect to the issuance of such Indebtedness as of and for the four consecutive fiscal quarter period ending at the end of most recent fiscal quarter of the Company preceding the date of such issuance (assuming for such purpose that the initial rate or rates of interest provided for therein (and giving effect to any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4" w:name="page45"/>
    <w:bookmarkEnd w:id="44"/>
    <w:p>
      <w:pPr>
        <w:jc w:val="both"/>
        <w:ind w:left="940" w:right="319"/>
        <w:spacing w:after="0" w:line="254" w:lineRule="auto"/>
        <w:rPr>
          <w:sz w:val="20"/>
          <w:szCs w:val="20"/>
          <w:color w:val="auto"/>
        </w:rPr>
      </w:pPr>
      <w:r>
        <w:rPr>
          <w:rFonts w:ascii="Times New Roman" w:cs="Times New Roman" w:eastAsia="Times New Roman" w:hAnsi="Times New Roman"/>
          <w:sz w:val="20"/>
          <w:szCs w:val="20"/>
          <w:color w:val="auto"/>
        </w:rPr>
        <w:t>increase in rates of interest therein provided) remained in effect for such four fiscal quarter period), which certificate shall demonstrate that the issuance of such Indebtedness does not cause, create or result in a Default or Event of Default on a historical pro forma basis.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each such transaction or proposed transaction shall be deemed to have occurred on and as of the first day of the relevant Measurement Period, and the following pro forma adjustments shall be made:</w:t>
      </w:r>
    </w:p>
    <w:p>
      <w:pPr>
        <w:spacing w:after="0" w:line="185" w:lineRule="exact"/>
        <w:rPr>
          <w:sz w:val="20"/>
          <w:szCs w:val="20"/>
          <w:color w:val="auto"/>
        </w:rPr>
      </w:pPr>
    </w:p>
    <w:p>
      <w:pPr>
        <w:jc w:val="both"/>
        <w:ind w:left="940" w:right="299" w:firstLine="648"/>
        <w:spacing w:after="0" w:line="249" w:lineRule="auto"/>
        <w:tabs>
          <w:tab w:leader="none" w:pos="19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the Company and its Restricted Subsidiaries for such Measurement Period;</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all income statement items (whether positive or negative) attributable to the property, line of business or the Person subject to such Acquisition shall be included in the results of the Company and its Restricted Subsidiaries for such Measurement Period;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Company and its Restricted Subsidiaries for such Measurement Period; and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Company and its Restricted Subsidiaries for such Measurement Period.</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Compliance</w:t>
      </w:r>
      <w:r>
        <w:rPr>
          <w:rFonts w:ascii="Times New Roman" w:cs="Times New Roman" w:eastAsia="Times New Roman" w:hAnsi="Times New Roman"/>
          <w:sz w:val="20"/>
          <w:szCs w:val="20"/>
          <w:color w:val="auto"/>
        </w:rPr>
        <w:t>” 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5" w:name="page46"/>
    <w:bookmarkEnd w:id="45"/>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Affiliate</w:t>
      </w:r>
      <w:r>
        <w:rPr>
          <w:rFonts w:ascii="Times New Roman" w:cs="Times New Roman" w:eastAsia="Times New Roman" w:hAnsi="Times New Roman"/>
          <w:sz w:val="20"/>
          <w:szCs w:val="20"/>
          <w:color w:val="auto"/>
        </w:rPr>
        <w:t xml:space="preserve">” means, with respect to Albert Nahmad, (a) a foundation or similar entity established by Albert Nahmad or any Family Member for the principal purpose of serving charitable goals which are controlled by Albert Nahmad and/or any one or more Family Members; (b) any trust and/or estate, the beneficiaries of which principally include Albert Nahmad, Family Members and/or the Persons named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(c) any corporation, limited liability company or partnership which is Controlled and a majority of the ownership interests of which are owned by Albert Nahmad, Family Members and/or the Persons named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30 day notice period has been waived.</w:t>
      </w:r>
    </w:p>
    <w:p>
      <w:pPr>
        <w:spacing w:after="0" w:line="159"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SOFR,</w:t>
      </w:r>
    </w:p>
    <w:p>
      <w:pPr>
        <w:spacing w:after="0" w:line="22" w:lineRule="exact"/>
        <w:rPr>
          <w:sz w:val="20"/>
          <w:szCs w:val="20"/>
          <w:color w:val="auto"/>
        </w:rPr>
      </w:pPr>
    </w:p>
    <w:p>
      <w:pPr>
        <w:ind w:left="300" w:right="319" w:hanging="8"/>
        <w:spacing w:after="0" w:line="246" w:lineRule="auto"/>
        <w:tabs>
          <w:tab w:leader="none" w:pos="62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Sterling, SONIA, (c) Euros, EURIBOR, and (d) Canadian Dollars, the Term CORRA Rate, as applicable.</w:t>
      </w:r>
    </w:p>
    <w:p>
      <w:pPr>
        <w:spacing w:after="0" w:line="18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which is a Committed Lender has failed to fund that have not been reallocated to and funded by another Committed Lender shall be deemed to be held by the Lender that is the Swing Line Lender or L/C Issuer, as the case may be, in making such determination;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this definition is subject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specified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executive vice president, chief financial officer, chief operating officer, treasurer, assistant treasurer, controller or senior vice president of a Loan Party, solely for purposes of the delivery of incumbency certificates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otherwise in connection herewith,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of the applicable Loan Party so designated by any of the foregoing officers in a notice to the Administrative Agent or any other officer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6" w:name="page47"/>
    <w:bookmarkEnd w:id="46"/>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Company that is not an Unrestricted Subsidiary.</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 (iii) with respect to an Alternative Currency Daily Rate Loan, each Interest Payment Date, and (iv) such additional dates as the Administrative Agent shall determine,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(iii) in the case of all Existing Letters of Credit denominated in Alternative Currencies, the Closing Date, and (iv) such additional dates as the Administrative Agent or the applicable L/C Issuer shall determine or the Required Lenders shall require.</w:t>
      </w:r>
    </w:p>
    <w:p>
      <w:pPr>
        <w:spacing w:after="0" w:line="192"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Committed Lender at any time, the aggregate amount at such time of its Committed Loans and the aggregate Outstanding Amount of such Lender’s participation in L/C Obligations and Swing Line Loans at such time.</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McGraw-Hill Companies, Inc., and any successor thereto.</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any European Union member state,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the Government of Canada or other relevant sanctions authority.</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Seasonal Commitment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Seasonal Decrease Period</w:t>
      </w:r>
      <w:r>
        <w:rPr>
          <w:rFonts w:ascii="Times New Roman" w:cs="Times New Roman" w:eastAsia="Times New Roman" w:hAnsi="Times New Roman"/>
          <w:sz w:val="20"/>
          <w:szCs w:val="20"/>
          <w:color w:val="auto"/>
        </w:rPr>
        <w:t>” means the period beginning on September 1 of each calendar year and continuing through March 1 of the immediately succeeding calendar year.</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Seasonal Increase Period</w:t>
      </w:r>
      <w:r>
        <w:rPr>
          <w:rFonts w:ascii="Times New Roman" w:cs="Times New Roman" w:eastAsia="Times New Roman" w:hAnsi="Times New Roman"/>
          <w:sz w:val="20"/>
          <w:szCs w:val="20"/>
          <w:color w:val="auto"/>
        </w:rPr>
        <w:t>” means the period beginning on March 2 of each calendar year and continuing through August 31 of such calendar year.</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7" w:name="page48"/>
    <w:bookmarkEnd w:id="47"/>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Sigler</w:t>
      </w:r>
      <w:r>
        <w:rPr>
          <w:rFonts w:ascii="Times New Roman" w:cs="Times New Roman" w:eastAsia="Times New Roman" w:hAnsi="Times New Roman"/>
          <w:sz w:val="20"/>
          <w:szCs w:val="20"/>
          <w:color w:val="auto"/>
        </w:rPr>
        <w:t>” means Russell Sigler, Inc.</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Sigler Equity Acquisitions</w:t>
      </w:r>
      <w:r>
        <w:rPr>
          <w:rFonts w:ascii="Times New Roman" w:cs="Times New Roman" w:eastAsia="Times New Roman" w:hAnsi="Times New Roman"/>
          <w:sz w:val="20"/>
          <w:szCs w:val="20"/>
          <w:color w:val="auto"/>
        </w:rPr>
        <w:t>” means the acquisition by the Company from time to time of the Equity Interests in Sigler that are not owned by the Company on the Closing Date.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Business Day immediately prior thereto.</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xml:space="preserve">” means, collectively, (a) each Material Subsidiary of the Company that is party to the Guaranty as of the Closing Date and (b) each other Material Subsidiary or Restricted Subsidiary, if any, that becomes a Subsidiary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foregoing), whether or not any such transaction is governed by or subject to any master agreement, and</w:t>
      </w:r>
    </w:p>
    <w:p>
      <w:pPr>
        <w:spacing w:after="0" w:line="22" w:lineRule="exact"/>
        <w:rPr>
          <w:sz w:val="20"/>
          <w:szCs w:val="20"/>
          <w:color w:val="auto"/>
        </w:rPr>
      </w:pPr>
    </w:p>
    <w:p>
      <w:pPr>
        <w:jc w:val="both"/>
        <w:ind w:left="300" w:right="299" w:hanging="8"/>
        <w:spacing w:after="0" w:line="241" w:lineRule="auto"/>
        <w:tabs>
          <w:tab w:leader="none" w:pos="5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7"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in its capacity as provider of Swing Line Loans, or any successor swing line lender hereunder.</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$125,000,000 and (b) the Aggregate Commitments. The Swing Line Sublimit is part of, and not in addition to, the Aggregate Commitments.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system.</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is open for the settlement of payments in Euro.</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9" w:name="page50"/>
    <w:bookmarkEnd w:id="49"/>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$125,000,000.</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(i) 0.29547% (29.547 basis points) for an Interest Period of one-month’s duration and 0.32138% (32.138 basis points) for an Interest Period of three-months’ duration.</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has the meaning specified in the definition of “Alternative Currency Term</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Rate.”</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940" w:right="299" w:firstLine="648"/>
        <w:spacing w:after="0" w:line="245" w:lineRule="auto"/>
        <w:tabs>
          <w:tab w:leader="none" w:pos="19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84" w:lineRule="exact"/>
        <w:rPr>
          <w:rFonts w:ascii="Times New Roman" w:cs="Times New Roman" w:eastAsia="Times New Roman" w:hAnsi="Times New Roman"/>
          <w:sz w:val="20"/>
          <w:szCs w:val="20"/>
          <w:color w:val="auto"/>
        </w:rPr>
      </w:pPr>
    </w:p>
    <w:p>
      <w:pPr>
        <w:jc w:val="both"/>
        <w:ind w:left="940" w:right="319" w:firstLine="360"/>
        <w:spacing w:after="0" w:line="263" w:lineRule="auto"/>
        <w:tabs>
          <w:tab w:leader="none" w:pos="16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w:t>
      </w:r>
    </w:p>
    <w:p>
      <w:pPr>
        <w:spacing w:after="0" w:line="22" w:lineRule="exact"/>
        <w:rPr>
          <w:sz w:val="20"/>
          <w:szCs w:val="20"/>
          <w:color w:val="auto"/>
        </w:rPr>
      </w:pPr>
    </w:p>
    <w:p>
      <w:pPr>
        <w:ind w:left="940" w:right="299"/>
        <w:spacing w:after="0" w:line="246" w:lineRule="auto"/>
        <w:tabs>
          <w:tab w:leader="none" w:pos="1229" w:val="left"/>
        </w:tabs>
        <w:numPr>
          <w:ilvl w:val="0"/>
          <w:numId w:val="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definition would otherwise be less than 0.00%, the Term SOFR shall be deemed to be 0.00% for purposes of this Agreement.</w:t>
      </w:r>
    </w:p>
    <w:p>
      <w:pPr>
        <w:spacing w:after="0" w:line="182"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and Revolving Credit Exposure of such Lender at such time.</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Outstandings</w:t>
      </w:r>
      <w:r>
        <w:rPr>
          <w:rFonts w:ascii="Times New Roman" w:cs="Times New Roman" w:eastAsia="Times New Roman" w:hAnsi="Times New Roman"/>
          <w:sz w:val="20"/>
          <w:szCs w:val="20"/>
          <w:color w:val="auto"/>
        </w:rPr>
        <w:t>” means the aggregate Outstanding Amount of all Committed Loans, Swing Line Loans and all L/C Obligations.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Committed Loan, its character as a Base Rate Loan, a Term SOFR Loan, a Daily Simple SOFR Loan, an Alternative Currency Daily Rate Loan or an Alternative Currency Term Rate Loan.</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0" w:name="page51"/>
    <w:bookmarkEnd w:id="50"/>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any Subsidiary that has been designated as an “Unrestricted Subsidiary”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has not been re-designated as a Restricted Subsidiary in accordance with such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to the extent that Sigler becomes a Subsidiary of the Company, it shall be deemed to be designated as an Unrestricted Subsidiary until such time, if ever, that the Company redesignates it as a Restricted Subsidiary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 (30) of the Code.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w:t>
      </w:r>
      <w:r>
        <w:rPr>
          <w:rFonts w:ascii="Times New Roman" w:cs="Times New Roman" w:eastAsia="Times New Roman" w:hAnsi="Times New Roman"/>
          <w:sz w:val="20"/>
          <w:szCs w:val="20"/>
          <w:color w:val="auto"/>
        </w:rPr>
        <w:t>” means any Subsidiary that is organized under the laws of any political subdivision of the United States.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scheduled installment, sinking fund, serial maturity or other required scheduled payment of principal.</w:t>
      </w:r>
    </w:p>
    <w:p>
      <w:pPr>
        <w:spacing w:after="0" w:line="18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w:t>
      </w:r>
      <w:r>
        <w:rPr>
          <w:rFonts w:ascii="Times New Roman" w:cs="Times New Roman" w:eastAsia="Times New Roman" w:hAnsi="Times New Roman"/>
          <w:sz w:val="20"/>
          <w:szCs w:val="20"/>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1" w:name="page52"/>
    <w:bookmarkEnd w:id="51"/>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1.02 Other Interpretive Provisions</w:t>
      </w:r>
      <w:r>
        <w:rPr>
          <w:rFonts w:ascii="Times New Roman" w:cs="Times New Roman" w:eastAsia="Times New Roman" w:hAnsi="Times New Roman"/>
          <w:sz w:val="20"/>
          <w:szCs w:val="20"/>
          <w:color w:val="auto"/>
        </w:rPr>
        <w:t>. With reference to this Agreement and each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unless otherwise specified herein or in such other Loan Document:</w:t>
      </w:r>
    </w:p>
    <w:p>
      <w:pPr>
        <w:spacing w:after="0" w:line="156" w:lineRule="exact"/>
        <w:rPr>
          <w:sz w:val="20"/>
          <w:szCs w:val="20"/>
          <w:color w:val="auto"/>
        </w:rPr>
      </w:pPr>
    </w:p>
    <w:p>
      <w:pPr>
        <w:jc w:val="both"/>
        <w:ind w:left="300" w:right="299" w:firstLine="640"/>
        <w:spacing w:after="0" w:line="241" w:lineRule="auto"/>
        <w:tabs>
          <w:tab w:leader="none" w:pos="13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187"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00" w:right="339" w:firstLine="640"/>
        <w:spacing w:after="0" w:line="269" w:lineRule="auto"/>
        <w:tabs>
          <w:tab w:leader="none" w:pos="13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conveyance,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conveyance,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2" w:name="page53"/>
    <w:bookmarkEnd w:id="52"/>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1.03 Accounting Terms. </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 Except as otherwise agreed, all accounting and financial calculations and determinations shall be made without consolidating the accounts of Unrestricted Subsidiaries with those of the Company or any Restricted Subsidiary, notwithstanding that such treatment is inconsistent with GAAP.</w:t>
      </w:r>
    </w:p>
    <w:p>
      <w:pPr>
        <w:spacing w:after="0" w:line="189" w:lineRule="exact"/>
        <w:rPr>
          <w:sz w:val="20"/>
          <w:szCs w:val="20"/>
          <w:color w:val="auto"/>
        </w:rPr>
      </w:pPr>
    </w:p>
    <w:p>
      <w:pPr>
        <w:jc w:val="both"/>
        <w:ind w:left="300" w:right="299" w:firstLine="352"/>
        <w:spacing w:after="0" w:line="242" w:lineRule="auto"/>
        <w:tabs>
          <w:tab w:leader="none" w:pos="10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(including any change required by the promulgation of any rule, regulation, pronouncement or opinion by the FASB or its successors)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until so amended, (A) such ratio or requirement shall continue to be computed in accordance with GAAP prior to such change therein and (B)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Times New Roman" w:cs="Times New Roman" w:eastAsia="Times New Roman" w:hAnsi="Times New Roman"/>
          <w:sz w:val="20"/>
          <w:szCs w:val="20"/>
          <w:color w:val="auto"/>
        </w:rPr>
      </w:pPr>
    </w:p>
    <w:p>
      <w:pPr>
        <w:jc w:val="both"/>
        <w:ind w:left="300" w:right="319" w:firstLine="352"/>
        <w:spacing w:after="0" w:line="246" w:lineRule="auto"/>
        <w:tabs>
          <w:tab w:leader="none" w:pos="10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Treatment</w:t>
      </w:r>
      <w:r>
        <w:rPr>
          <w:rFonts w:ascii="Times New Roman" w:cs="Times New Roman" w:eastAsia="Times New Roman" w:hAnsi="Times New Roman"/>
          <w:sz w:val="20"/>
          <w:szCs w:val="20"/>
          <w:color w:val="auto"/>
        </w:rPr>
        <w:t xml:space="preserve">. Each Disposition of all or substantially all of a line of business, and each Acquisition, by the Company and its Restricted Subsidiaries that is consummated during any Measurement Period shall, for purposes of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for purposes of determining the Applicable Rate, be given Pro Forma Effect as of the first day of such Measurement Period.</w:t>
      </w:r>
    </w:p>
    <w:p>
      <w:pPr>
        <w:spacing w:after="0" w:line="181" w:lineRule="exact"/>
        <w:rPr>
          <w:sz w:val="20"/>
          <w:szCs w:val="20"/>
          <w:color w:val="auto"/>
        </w:rPr>
      </w:pPr>
    </w:p>
    <w:p>
      <w:pPr>
        <w:jc w:val="both"/>
        <w:ind w:left="300" w:right="299"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1.04 Rounding. </w:t>
      </w:r>
      <w:r>
        <w:rPr>
          <w:rFonts w:ascii="Times New Roman" w:cs="Times New Roman" w:eastAsia="Times New Roman" w:hAnsi="Times New Roman"/>
          <w:sz w:val="20"/>
          <w:szCs w:val="20"/>
          <w:color w:val="auto"/>
        </w:rPr>
        <w:t>Any financial ratios required to be maintained by the Company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13"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1.05 Exchange Rates; Currency Equivalents </w:t>
      </w:r>
      <w:r>
        <w:rPr>
          <w:rFonts w:ascii="Times New Roman" w:cs="Times New Roman" w:eastAsia="Times New Roman" w:hAnsi="Times New Roman"/>
          <w:sz w:val="20"/>
          <w:szCs w:val="20"/>
          <w:color w:val="auto"/>
        </w:rPr>
        <w:t>. (a) The Administrative Agent or the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6" w:lineRule="exact"/>
        <w:rPr>
          <w:sz w:val="20"/>
          <w:szCs w:val="20"/>
          <w:color w:val="auto"/>
        </w:rPr>
      </w:pPr>
    </w:p>
    <w:p>
      <w:pPr>
        <w:jc w:val="both"/>
        <w:ind w:left="300" w:right="299" w:firstLine="640"/>
        <w:spacing w:after="0" w:line="245" w:lineRule="auto"/>
        <w:tabs>
          <w:tab w:leader="none" w:pos="130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Committed Borrowing or conversion, continuation or prepayment of an Alternative Currency Loan or the issuance, amendment or extension of a Letter of Credit, an amount, such as a required minimum or multiple amount, is expressed in Dollars, but such Committed Borrowing, Loan or Letter of Credit is denominated in an Alternative Currency, such amount shall be the relevant Alternative Currency Equivalent of such Dollar amount (rounded to the nearest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3" w:name="page54"/>
    <w:bookmarkEnd w:id="53"/>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unit of such Alternative Currency, with 0.5 of a unit being rounded upward), as determined by the Administrative Agent, or the L/C Issuer, as the case may be.</w:t>
      </w:r>
    </w:p>
    <w:p>
      <w:pPr>
        <w:spacing w:after="0" w:line="15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1.06 Additional Alternative Currencies</w:t>
      </w:r>
      <w:r>
        <w:rPr>
          <w:rFonts w:ascii="Times New Roman" w:cs="Times New Roman" w:eastAsia="Times New Roman" w:hAnsi="Times New Roman"/>
          <w:sz w:val="20"/>
          <w:szCs w:val="20"/>
          <w:color w:val="auto"/>
        </w:rPr>
        <w:t>. (a) The Company may from time to time request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Alternative Currency Loans and/or Letters of Credit be issued be made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each Committed Lender, in the case of a Committed Loan; and in the case of any such request with respect to the issuance of Letters of Credit, such request shall be subject to the approval of the Administrative Agent and the L/C Issuer.</w:t>
      </w:r>
    </w:p>
    <w:p>
      <w:pPr>
        <w:spacing w:after="0" w:line="186" w:lineRule="exact"/>
        <w:rPr>
          <w:sz w:val="20"/>
          <w:szCs w:val="20"/>
          <w:color w:val="auto"/>
        </w:rPr>
      </w:pPr>
    </w:p>
    <w:p>
      <w:pPr>
        <w:jc w:val="both"/>
        <w:ind w:left="300" w:right="299" w:firstLine="640"/>
        <w:spacing w:after="0" w:line="242" w:lineRule="auto"/>
        <w:tabs>
          <w:tab w:leader="none" w:pos="130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Noon,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Alternative Currency Loans, the Administrative Agent shall promptly notify each applicable Lender thereof; and in the case of any such request pertaining to Letters of Credit, the Administrative Agent shall promptly notify the applicable L/C Issuer thereof. Each applicable Lender (in the case of any such request pertaining to Alternative Currency Loans) or the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8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any applicable Lender or the L/C Issuer, as the case may be, to respond to such request within the time period specified in the preceding sentence shall be deemed to be a refusal by such Lender or the L/C Issuer, as the case may be, to permit Alternative Currency Loans to be made or Letters of Credit to be issued in such requested currency. If the Administrative Agent and all the applicable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and the L/C Issuer consent to the issuance of Letters of Credit in such requested currency, the Administrative Agent shall so notify the Company and (i) the Administrative Agent and the L/C Issuer may amend the definition of Alternative Currency Daily Rate or Alternative Currency Term Rate, as applicable,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Administrative Agent shall promptly so notify the Company.</w:t>
      </w:r>
    </w:p>
    <w:p>
      <w:pPr>
        <w:spacing w:after="0" w:line="174"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1.07 Change of Currency </w:t>
      </w:r>
      <w:r>
        <w:rPr>
          <w:rFonts w:ascii="Times New Roman" w:cs="Times New Roman" w:eastAsia="Times New Roman" w:hAnsi="Times New Roman"/>
          <w:sz w:val="20"/>
          <w:szCs w:val="20"/>
          <w:color w:val="auto"/>
        </w:rPr>
        <w:t>. (a) Each obligation of the Borrowers to make a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4" w:name="page55"/>
    <w:bookmarkEnd w:id="54"/>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 xml:space="preserve">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84" w:lineRule="exact"/>
        <w:rPr>
          <w:sz w:val="20"/>
          <w:szCs w:val="20"/>
          <w:color w:val="auto"/>
        </w:rPr>
      </w:pPr>
    </w:p>
    <w:p>
      <w:pPr>
        <w:jc w:val="both"/>
        <w:ind w:left="300" w:right="319" w:firstLine="640"/>
        <w:spacing w:after="0" w:line="249" w:lineRule="auto"/>
        <w:tabs>
          <w:tab w:leader="none" w:pos="13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1.08 Times of Day</w:t>
      </w:r>
      <w:r>
        <w:rPr>
          <w:rFonts w:ascii="Times New Roman" w:cs="Times New Roman" w:eastAsia="Times New Roman" w:hAnsi="Times New Roman"/>
          <w:sz w:val="20"/>
          <w:szCs w:val="20"/>
          <w:color w:val="auto"/>
        </w:rPr>
        <w:t>. Unless otherwise specified, all references herein to times of day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references to Eastern time (daylight or standard, as applicable).</w:t>
      </w:r>
    </w:p>
    <w:p>
      <w:pPr>
        <w:spacing w:after="0" w:line="15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1.09 Letter of Credit Amounts</w:t>
      </w:r>
      <w:r>
        <w:rPr>
          <w:rFonts w:ascii="Times New Roman" w:cs="Times New Roman" w:eastAsia="Times New Roman" w:hAnsi="Times New Roman"/>
          <w:sz w:val="20"/>
          <w:szCs w:val="20"/>
          <w:color w:val="auto"/>
        </w:rPr>
        <w:t>. Unless otherwise specified herein, the amount of a Letter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at any time shall be deemed to be the Dollar Equivalent of the stated amount of such Letter of Credit in effect at such time.</w:t>
      </w:r>
    </w:p>
    <w:p>
      <w:pPr>
        <w:spacing w:after="0" w:line="169"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19"/>
          <w:szCs w:val="19"/>
          <w:b w:val="1"/>
          <w:bCs w:val="1"/>
          <w:color w:val="auto"/>
        </w:rPr>
        <w:t>Interest Rates; Licensing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1" w:lineRule="auto"/>
        <w:tabs>
          <w:tab w:leader="none" w:pos="130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8"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and it will do all things necessary to comply, preserve, renew and keep in full force and such licenses, permits and approvals.</w:t>
      </w:r>
    </w:p>
    <w:p>
      <w:pPr>
        <w:spacing w:after="0" w:line="176" w:lineRule="exact"/>
        <w:rPr>
          <w:sz w:val="20"/>
          <w:szCs w:val="20"/>
          <w:color w:val="auto"/>
        </w:rPr>
      </w:pPr>
    </w:p>
    <w:p>
      <w:pPr>
        <w:ind w:left="300" w:right="29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1.11 Limited Condition Transactions. </w:t>
      </w:r>
      <w:r>
        <w:rPr>
          <w:rFonts w:ascii="Times New Roman" w:cs="Times New Roman" w:eastAsia="Times New Roman" w:hAnsi="Times New Roman"/>
          <w:sz w:val="20"/>
          <w:szCs w:val="20"/>
          <w:color w:val="auto"/>
        </w:rPr>
        <w:t>In the event that the Company notifies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in writing that any proposed Acquisition or Investment is a Limited Condition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5" w:name="page56"/>
    <w:bookmarkEnd w:id="55"/>
    <w:p>
      <w:pPr>
        <w:jc w:val="both"/>
        <w:ind w:left="300" w:right="299"/>
        <w:spacing w:after="0" w:line="263" w:lineRule="auto"/>
        <w:rPr>
          <w:sz w:val="20"/>
          <w:szCs w:val="20"/>
          <w:color w:val="auto"/>
        </w:rPr>
      </w:pPr>
      <w:r>
        <w:rPr>
          <w:rFonts w:ascii="Times New Roman" w:cs="Times New Roman" w:eastAsia="Times New Roman" w:hAnsi="Times New Roman"/>
          <w:sz w:val="19"/>
          <w:szCs w:val="19"/>
          <w:color w:val="auto"/>
        </w:rPr>
        <w:t xml:space="preserve">Transaction and that the Company wishes to test the conditions to such Acquisition or Investment and the Indebtedness (other than any Indebtedness arising under the revolving credit facility provided pursuant to the Aggregate Commitments, including any increase thereto contemplated hereby) that is to be used to finance such Acquisition in accordance with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then, so long as agreed to by the Administrative Agent and the lenders providing such Indebtedness, the following provisions shall apply:</w:t>
      </w:r>
    </w:p>
    <w:p>
      <w:pPr>
        <w:spacing w:after="0" w:line="166" w:lineRule="exact"/>
        <w:rPr>
          <w:sz w:val="20"/>
          <w:szCs w:val="20"/>
          <w:color w:val="auto"/>
        </w:rPr>
      </w:pPr>
    </w:p>
    <w:p>
      <w:pPr>
        <w:jc w:val="both"/>
        <w:ind w:left="300" w:right="299" w:firstLine="640"/>
        <w:spacing w:after="0" w:line="243" w:lineRule="auto"/>
        <w:tabs>
          <w:tab w:leader="none" w:pos="130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Transaction or such Indebtedness that requires that no Default or Event of Default shall have occurred and be continuing at the time of such Limited Condition Transaction or the incurrence of such Indebtedness, shall be satisfied if (i) no Default or Event of Default shall have occurred and be continuing at the time of the execution of the definitive agreements governing such Limited Condition Transaction (such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and (ii) no Event of Default under any of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shall have occurred and be continuing both immediately before and immediately after giving effect to such Limited Condition Transaction and any Indebtedness incurred in connection therewith (including any such additional Indebtedness);</w:t>
      </w:r>
    </w:p>
    <w:p>
      <w:pPr>
        <w:spacing w:after="0" w:line="189" w:lineRule="exact"/>
        <w:rPr>
          <w:rFonts w:ascii="Times New Roman" w:cs="Times New Roman" w:eastAsia="Times New Roman" w:hAnsi="Times New Roman"/>
          <w:sz w:val="20"/>
          <w:szCs w:val="20"/>
          <w:color w:val="auto"/>
        </w:rPr>
      </w:pPr>
    </w:p>
    <w:p>
      <w:pPr>
        <w:ind w:left="300" w:right="299" w:firstLine="640"/>
        <w:spacing w:after="0" w:line="241" w:lineRule="auto"/>
        <w:tabs>
          <w:tab w:leader="none" w:pos="130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LCT Test Date, or if such representation speaks as of an earlier date, as of such earlier date and (ii) as of the date of consummation of such Limited Condition Transaction, (A) the representations and warranties under the relevant definitive agreement governing such Limited Condition Transaction as are material to the lenders providing such Indebtedness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88" w:lineRule="exact"/>
        <w:rPr>
          <w:rFonts w:ascii="Times New Roman" w:cs="Times New Roman" w:eastAsia="Times New Roman" w:hAnsi="Times New Roman"/>
          <w:sz w:val="20"/>
          <w:szCs w:val="20"/>
          <w:color w:val="auto"/>
        </w:rPr>
      </w:pPr>
    </w:p>
    <w:p>
      <w:pPr>
        <w:jc w:val="both"/>
        <w:ind w:left="300" w:right="299" w:firstLine="640"/>
        <w:spacing w:after="0" w:line="242" w:lineRule="auto"/>
        <w:tabs>
          <w:tab w:leader="none" w:pos="130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 test or condition to be tested in connection with such Limited Condition Transaction and the availability of such Indebtedness will be tested as of the LCT Test Date, in each case, after giving effect to the relevant Limited Condition Transaction and related incurrence of Indebtedness, on a Pro Forma Basis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(including due to fluctuations in Consolidated EBITDA of the Company or the Person subject to such Limited Condition Transaction),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87" w:lineRule="exact"/>
        <w:rPr>
          <w:rFonts w:ascii="Times New Roman" w:cs="Times New Roman" w:eastAsia="Times New Roman" w:hAnsi="Times New Roman"/>
          <w:sz w:val="20"/>
          <w:szCs w:val="20"/>
          <w:color w:val="auto"/>
        </w:rPr>
      </w:pPr>
    </w:p>
    <w:p>
      <w:pPr>
        <w:jc w:val="both"/>
        <w:ind w:left="300" w:right="299" w:firstLine="640"/>
        <w:spacing w:after="0" w:line="263" w:lineRule="auto"/>
        <w:tabs>
          <w:tab w:leader="none" w:pos="130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(i) on a Pro Forma Basis assuming such Limited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Condition Transaction and other transactions in connection therewith (including the incurrence or assumption of Indebtedness) have been consummated and (ii) assuming such Limited Condition Transaction and other transactions in connection therewith (including the incurrence or assumption of Indebtedness) have not been consummated. Notwithstanding the foregoing, any calculation of a ratio in connection with determining the Applicable Rate and determining whether or not the Company is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shall, in each case be calculated assuming such Limited Condition Transaction and other transactions in connection therewith (including the incurrence or assumption of Indebtedness) have not been consummated.</w:t>
      </w:r>
    </w:p>
    <w:p>
      <w:pPr>
        <w:spacing w:after="0" w:line="18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 Transactions such that each of the possible scenarios is separately tested.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2.01 Committed Loans </w:t>
      </w:r>
      <w:r>
        <w:rPr>
          <w:rFonts w:ascii="Times New Roman" w:cs="Times New Roman" w:eastAsia="Times New Roman" w:hAnsi="Times New Roman"/>
          <w:sz w:val="20"/>
          <w:szCs w:val="20"/>
          <w:color w:val="auto"/>
        </w:rPr>
        <w:t>. Subject to the terms and conditions set forth herein,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Lender severally agrees to make loans (each such loan, a “</w:t>
      </w:r>
      <w:r>
        <w:rPr>
          <w:rFonts w:ascii="Times New Roman" w:cs="Times New Roman" w:eastAsia="Times New Roman" w:hAnsi="Times New Roman"/>
          <w:sz w:val="20"/>
          <w:szCs w:val="20"/>
          <w:u w:val="single" w:color="auto"/>
          <w:color w:val="auto"/>
        </w:rPr>
        <w:t>Committed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with respect to the Committed Facility, in an aggregate amount not to exceed at any time outstanding the amount of such Lender’s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Committed Borrowing, (i) the Total Outstandings shall not exceed the Aggregate Commitments, (ii) the Revolving Credit Exposure of any Lender shall not exceed such Lender’s Commitment, and (iii) the aggregate Outstanding Amount of all Committed Loans and L/C Obligations denominated in Alternative Currencies shall not exceed the Alternative Currency Sublimit. Within the limits of each Lender’s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Committed Loans may be Base Rate Loans, Daily Simple SOFR Loans, Term SOFR Loans, Alternative Currency Daily Rate Loans or Alternative Currency Term Rate Loans, as further provided herein.</w:t>
      </w:r>
    </w:p>
    <w:p>
      <w:pPr>
        <w:spacing w:after="0" w:line="18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b w:val="1"/>
          <w:bCs w:val="1"/>
          <w:color w:val="auto"/>
        </w:rPr>
        <w:t>Borrowings, Conversions and Continuations of Committed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4" w:lineRule="auto"/>
        <w:tabs>
          <w:tab w:leader="none" w:pos="130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Committed Borrowing, each conversion of Committed Loans from one Type to the other, and each continuation of Term SOFR Loans or Alternative Currency Term Rate Loans shall be made upon the Company’s irrevocable notice to the Administrative Agent, which may be given by (A) telephone or (B) a Committed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Committed Loan Notice. Each such Committed Loan Notice must be received by the Administrative Agent not later than (i) noon, three Business Days prior to the requested date of any Borrowing of, conversion to or continuation of Alternative Currency Loans denominated in Canadian Dollars or of any conversion of Alternative Currency Loans denominated in Canadian Dollars to Base Rate Committed Loans, (ii) noon, four Business Days (or five Business Days in the case of a Special Notice Currency) prior to the requested date of any Borrowing of, conversion to or continuation of Alternative Currency Loans denominated in Alternative Currencies other than Canadian Dollars or of any conversion of such Loans to Base Rate Committed Loans, (iii) noon, two Business Days prior to the requested date of any Borrowing of, conversion to or continuation of Term SOFR Loans or of any conversion of Term SOFR Loans to Daily Simple SOFR Loans or Base Rate Committed Loans, (iv) 11:00 a.m. on the requested date of any other Borrowing of, or conversion to, Daily Simple SOFR Loans and (v) noon on the requested date of any Borrowing of Base Rate Committed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Company wishes to request Term SOFR Loan or Alternative Currency Term Rate Loans having an Interest Period other than one, three or six months in duration as provided in the definition of “Interest Period,” the applicable notice must be received by the Administrative Agent not later than Noon (i) four Business Days prior to the requested date of such Borrowing, conversion or continuation of Alternative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jc w:val="both"/>
        <w:ind w:left="300" w:right="299"/>
        <w:spacing w:after="0" w:line="255" w:lineRule="auto"/>
        <w:rPr>
          <w:sz w:val="20"/>
          <w:szCs w:val="20"/>
          <w:color w:val="auto"/>
        </w:rPr>
      </w:pPr>
      <w:r>
        <w:rPr>
          <w:rFonts w:ascii="Times New Roman" w:cs="Times New Roman" w:eastAsia="Times New Roman" w:hAnsi="Times New Roman"/>
          <w:sz w:val="19"/>
          <w:szCs w:val="19"/>
          <w:color w:val="auto"/>
        </w:rPr>
        <w:t>Currency Loans denominated in Canadian Dollars or Term SOFR Loans, or (ii) five Business Days (or six Business Days in the case of a Special Notice Currency) prior to the requested date of such Borrowing, conversion or continuation of Alternative Currency Loans denominated in Alternative Currencies other than Canadian Dollars, whereupon the Administrative Agent shall give prompt notice to the Lenders of such request and determine whether the requested Interest Period is acceptable to all of them. Not later than Noon, (i) three Business Days before the requested date of such Borrowing, conversion or continuation of Term SOFR Loans or Alternative Currency Loans denominated in Canadian Dollars, or</w:t>
      </w:r>
    </w:p>
    <w:p>
      <w:pPr>
        <w:spacing w:after="0" w:line="4" w:lineRule="exact"/>
        <w:rPr>
          <w:sz w:val="20"/>
          <w:szCs w:val="20"/>
          <w:color w:val="auto"/>
        </w:rPr>
      </w:pPr>
    </w:p>
    <w:p>
      <w:pPr>
        <w:jc w:val="both"/>
        <w:ind w:left="300" w:right="299" w:hanging="8"/>
        <w:spacing w:after="0" w:line="239" w:lineRule="auto"/>
        <w:tabs>
          <w:tab w:leader="none" w:pos="6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four Business Days (or five Business Days in the case of a Special Notice Currency) prior to the requested date of such Borrowing, conversion or continuation of Alternative Currency Loans denominated in Alternative Currencies other than Canadian Dollars, the Administrative Agent shall notify the Company (which notice may be by telephone) whether or not the requested Interest Period has been consented to by all the Lenders (it being understood that Lender consent is not needed for requested Interest Periods of one, three or six months in duration). Each Borrowing of, conversion to or continuation of Daily Simple SOFR Loans or Term SOFR Loans and Alternative Currency Loans shall be in a principal amount of $2,000,000 or a whole multiple of $1,000,000 in excess thereof (or, in the case of Alternative Currency Loans, the Dollar Equivalent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each Committed Borrowing of or conversion to Base Rate Committed Loans shall be in a principal amount of $500,000 or a whole multiple of $100,000 in excess thereof. Each Committed Loan Notice shall specify (i) whether the Company is requesting a Committed Borrowing, a conversion of Committed Loans from one Type to the other, or a continuation of Term SOFR Loans or Alternative Currency Loans, as applicable,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if applicable, the Designated Borrower. If the Company fails to specify a currency in a Committed Loan Notice requesting a Borrowing, then the Committed Loans so requested shall be made in Dollars. If the Company fails to specify a Type of Committed Loan in a Committed Loan Notice or if the Company fails to give a timely notice requesting a conversion or continuation, then the applicable Committed Loans shall be made as, or converted to, Alternative Currency Term Rate Loans in their original currency (or, if a new Committed Loan, Dollars) with, in the case of Alternative Currency Term Rate Loans and Term SOFR Loans, an Interest Period of one month. If the Company requests a Borrowing of, conversion to, or continuation of Term SOFR Loans or Alternative Currency Term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208"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0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Lender of the amount (and currency) of its Applicable Percentage of the applicable Committed Loans, and if no timely notice of a conversion or continuation is provided by the Company, the Administrative Agent shall notify each Lender of the details of any automatic conversion to Base Rate Loans or continuation of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Administrative Agent shall make all funds so received available to the Company or the other applicable Borrower in like funds as received by the Administrative Agent either by (i) crediting the account of such</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the Committed Loan Notice with respect to such Borrowing denominated in Dollars is given by the Company,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86" w:lineRule="exact"/>
        <w:rPr>
          <w:sz w:val="20"/>
          <w:szCs w:val="20"/>
          <w:color w:val="auto"/>
        </w:rPr>
      </w:pPr>
    </w:p>
    <w:p>
      <w:pPr>
        <w:jc w:val="both"/>
        <w:ind w:left="300" w:right="299" w:firstLine="640"/>
        <w:spacing w:after="0" w:line="242" w:lineRule="auto"/>
        <w:tabs>
          <w:tab w:leader="none" w:pos="13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any Alternative Currency Term Rate Loan or Term SOFR Loan may be continued or converted only on the last day of an Interest Period for such Loan.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may be converted to or continued as a Daily Simple SOFR Loan or a Term SOFR Loan, (ii) no new Borrowings may be made in the form of Alternative Currency Loans or Term SOFR Loans, (iii) unless repaid, each Term SOFR Loan shall be converted to a Base Rate Loan at the end of the Interest Period applicable thereto, and (iv) unless repaid, each Alternative Currency Term Rate Loan shall automatically be continued as an Alternative Currency Term Rate Loans with an Interest Period of one month.</w:t>
      </w:r>
    </w:p>
    <w:p>
      <w:pPr>
        <w:spacing w:after="0" w:line="192"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Term SOFR Loans and Alternative Currency Term Rate Loans upon determination of such interest rate.</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Committed Borrowings, all conversions of Committed Loans from one Type to the other, and all continuations of Committed Loans as the same Type, there shall not be more than twelve Interest Periods in effect with respect to Committed Loans.</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8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b w:val="1"/>
          <w:bCs w:val="1"/>
          <w:color w:val="auto"/>
        </w:rPr>
        <w:t>Letters of Credit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hanging="360"/>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the L/C Issuer agrees, in reliance upon the agreements of the Committed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(1) from time to time on any Business Day during the period from the Closing Date until the Letter of Credit Expiration Date, to issue Letters of Credit denominated in Dollars or in an Alternative Currency for the account of the Company or its Restricted Subsidiaries, and to amend or extend Letters of Credit previously issued by it, in accordance with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and (2) to honor drawings under the Letters of Credit; and (B) the Committed Lenders severally agree to participate in Letters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9" w:name="page60"/>
    <w:bookmarkEnd w:id="59"/>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of Credit issued for the account of the Company or its Restricted Subsidiaries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(w) the aggregate amount of the outstanding Letters of Credit issued by any L/C Issuer shall not exceed its L/C Commitment, (x) the Total Outstandings shall not exceed the Aggregate Commitments, (y) the Revolving Credit Exposure of any Lender shall not exceed such Lender’s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94" w:lineRule="exact"/>
        <w:rPr>
          <w:sz w:val="20"/>
          <w:szCs w:val="20"/>
          <w:color w:val="auto"/>
        </w:rPr>
      </w:pPr>
    </w:p>
    <w:p>
      <w:pPr>
        <w:ind w:left="1940" w:hanging="352"/>
        <w:spacing w:after="0"/>
        <w:tabs>
          <w:tab w:leader="none" w:pos="19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the requested Letter of Credit would occur more than twelve months after the date of issuance or last extension, unless the Required Lenders have approved such expiry date; or</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the requested Letter of Credit would occur after the Letter of Credit Expiration Date, unless all the Committed Lenders have approved such expiry date.</w:t>
      </w:r>
    </w:p>
    <w:p>
      <w:pPr>
        <w:spacing w:after="0" w:line="174"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the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to be denominated in a currency other than Dollars or an Alternative Currency;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0" w:name="page61"/>
    <w:bookmarkEnd w:id="60"/>
    <w:p>
      <w:pPr>
        <w:ind w:left="1580" w:right="339" w:firstLine="656"/>
        <w:spacing w:after="0" w:line="269" w:lineRule="auto"/>
        <w:tabs>
          <w:tab w:leader="none" w:pos="258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the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58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Committed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9" w:lineRule="exact"/>
        <w:rPr>
          <w:rFonts w:ascii="Times New Roman" w:cs="Times New Roman" w:eastAsia="Times New Roman" w:hAnsi="Times New Roman"/>
          <w:sz w:val="20"/>
          <w:szCs w:val="20"/>
          <w:color w:val="auto"/>
        </w:rPr>
      </w:pPr>
    </w:p>
    <w:p>
      <w:pPr>
        <w:ind w:left="1580" w:right="339" w:firstLine="656"/>
        <w:spacing w:after="0" w:line="269" w:lineRule="auto"/>
        <w:tabs>
          <w:tab w:leader="none" w:pos="258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the Letter of Credit in its amended form under the terms hereof.</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Committed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(B) as additionally provided herein with respect to the L/C Issuer.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1" w:name="page62"/>
    <w:bookmarkEnd w:id="61"/>
    <w:p>
      <w:pPr>
        <w:ind w:left="1320" w:hanging="380"/>
        <w:spacing w:after="0"/>
        <w:tabs>
          <w:tab w:leader="none" w:pos="13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940" w:right="299" w:firstLine="648"/>
        <w:spacing w:after="0"/>
        <w:tabs>
          <w:tab w:leader="none" w:pos="19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Noon at least three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204"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Committed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the L/C Issuer shall, on the requested date, issue a Letter of Credit for the account of the Company (or the applicable Restricted Subsidiary) or enter into the applicable amendment, as the case may be, in each case in accordance with the L/C Issuer’s usual and customary business practices. Immediately upon the issuance of each Letter of Credit, each Committed Lender shall be deemed to, and hereby irrevocably and unconditionally agrees to, purchase from the L/C Issuer a risk participation in such Letter of Credit in an amount equal to the product of such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9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in each such twelve-month period to be agreed upon at the time such Letter of Credit is issued. Unless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2" w:name="page63"/>
    <w:bookmarkEnd w:id="62"/>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otherwise directed by the L/C Issuer, the Company shall not be required to make a specific request to the L/C Issuer for any such extension. Once an Auto-Extension Letter of Credit has been issued, the Committed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Committed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196" w:lineRule="exact"/>
        <w:rPr>
          <w:sz w:val="20"/>
          <w:szCs w:val="20"/>
          <w:color w:val="auto"/>
        </w:rPr>
      </w:pPr>
    </w:p>
    <w:p>
      <w:pPr>
        <w:jc w:val="both"/>
        <w:ind w:left="940" w:right="299" w:firstLine="648"/>
        <w:spacing w:after="0" w:line="249" w:lineRule="auto"/>
        <w:tabs>
          <w:tab w:leader="none" w:pos="194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upon request, will also deliver to the Company and the Administrative Agent a true and complete copy of such Letter of Credit or amendment.</w:t>
      </w:r>
    </w:p>
    <w:p>
      <w:pPr>
        <w:spacing w:after="0" w:line="179"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4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L/C Issuer shall notify the Company and the Administrative Agent thereof. In the case of a Letter of Credit denominated in an Alternative Currency, the Company shall reimburse the L/C Issuer in such Alternative Currency, unless (A) the L/C Issuer (at its option) shall have specified in such notice that it will require reimbursement in Dollars, or</w:t>
      </w:r>
    </w:p>
    <w:p>
      <w:pPr>
        <w:jc w:val="both"/>
        <w:ind w:left="940" w:right="29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Noon on the date of any payment by the L/C Issuer under a Letter of Credit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the Company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L/C Issuer for the loss resulting from its inability on that date to purchase the Alternative Currency in the full amount of the drawing. If the Company fails to timely reimburse the L/C Issuer on the Honor Date, the Administrative Agent shall promptly notify each Committed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and the amount of such Lender’s Applicable Percentage thereof. In such event, the Company shall be deemed to have requested a Committed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3" w:name="page64"/>
    <w:bookmarkEnd w:id="63"/>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 xml:space="preserve">of a Committed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80" w:lineRule="exact"/>
        <w:rPr>
          <w:sz w:val="20"/>
          <w:szCs w:val="20"/>
          <w:color w:val="auto"/>
        </w:rPr>
      </w:pPr>
    </w:p>
    <w:p>
      <w:pPr>
        <w:jc w:val="both"/>
        <w:ind w:left="940" w:right="299" w:firstLine="648"/>
        <w:spacing w:after="0" w:line="243" w:lineRule="auto"/>
        <w:tabs>
          <w:tab w:leader="none" w:pos="19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Committed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Committed Lender that so makes funds available shall be deemed to have made a Base Rate Committed Loan to the Company in such amount. The Administrative Agent shall remit the funds so received to the L/C Issuer in Dollars.</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Committed Borrowing of Base Rate Loans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Committed Lender’s payment to the Administrative Agent for the account of the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In no event shall a Default be triggered by any such failure of any Loan Party to reimburse the L/C Issuer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Committed Lender funds its Committed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Lender’s Applicable Percentage of such amount shall be solely for the account of the L/C Issuer.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Committed Lender’s obligation to make Committed Loans or L/C Advances to reimburse the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Committed Lender’s obligation to make Committed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Company of a Committed Loan Notice). Subject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no such making of an L/C Advance shall relieve or otherwise impair the joint and several obligation of the Borrowers to reimburse the L/C Issuer for the amount of any payment made by the L/C Issuer under any Letter of Credit, together with interest as provided herein.</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Committed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then, without limiting the other provisions of this Agreement, the L/C Issuer shall be entitled to recover from such Lender (acting through the Administrative Agent), on demand, such amount with interest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4" w:name="page65"/>
    <w:bookmarkEnd w:id="64"/>
    <w:p>
      <w:pPr>
        <w:jc w:val="both"/>
        <w:ind w:left="940" w:right="299"/>
        <w:spacing w:after="0" w:line="255" w:lineRule="auto"/>
        <w:rPr>
          <w:sz w:val="20"/>
          <w:szCs w:val="20"/>
          <w:color w:val="auto"/>
        </w:rPr>
      </w:pPr>
      <w:r>
        <w:rPr>
          <w:rFonts w:ascii="Times New Roman" w:cs="Times New Roman" w:eastAsia="Times New Roman" w:hAnsi="Times New Roman"/>
          <w:sz w:val="19"/>
          <w:szCs w:val="19"/>
          <w:color w:val="auto"/>
        </w:rPr>
        <w:t xml:space="preserve">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Committed Lender (through the Administrative Agent) with respect to any amounts owing under this </w:t>
      </w:r>
      <w:r>
        <w:rPr>
          <w:rFonts w:ascii="Times New Roman" w:cs="Times New Roman" w:eastAsia="Times New Roman" w:hAnsi="Times New Roman"/>
          <w:sz w:val="19"/>
          <w:szCs w:val="19"/>
          <w:u w:val="single" w:color="auto"/>
          <w:color w:val="auto"/>
        </w:rPr>
        <w:t>clause</w:t>
      </w:r>
    </w:p>
    <w:p>
      <w:pPr>
        <w:spacing w:after="0" w:line="1" w:lineRule="exact"/>
        <w:rPr>
          <w:sz w:val="20"/>
          <w:szCs w:val="20"/>
          <w:color w:val="auto"/>
        </w:rPr>
      </w:pPr>
    </w:p>
    <w:p>
      <w:pPr>
        <w:ind w:left="1280" w:hanging="340"/>
        <w:spacing w:after="0"/>
        <w:tabs>
          <w:tab w:leader="none" w:pos="1280"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conclusive absent manifest error.</w:t>
      </w:r>
    </w:p>
    <w:p>
      <w:pPr>
        <w:spacing w:after="0" w:line="193" w:lineRule="exact"/>
        <w:rPr>
          <w:rFonts w:ascii="Times New Roman" w:cs="Times New Roman" w:eastAsia="Times New Roman" w:hAnsi="Times New Roman"/>
          <w:sz w:val="20"/>
          <w:szCs w:val="20"/>
          <w:u w:val="single" w:color="auto"/>
          <w:color w:val="auto"/>
        </w:rPr>
      </w:pPr>
    </w:p>
    <w:p>
      <w:pPr>
        <w:ind w:left="94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940" w:right="299" w:firstLine="648"/>
        <w:spacing w:after="0" w:line="243" w:lineRule="auto"/>
        <w:tabs>
          <w:tab w:leader="none" w:pos="19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Committed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L/C Issuer in its discretion), each Committed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Committed Lenders under this clause shall survive the payment in full of the Obligations and the termination of this Agreement.</w:t>
      </w:r>
    </w:p>
    <w:p>
      <w:pPr>
        <w:spacing w:after="0" w:line="186" w:lineRule="exact"/>
        <w:rPr>
          <w:sz w:val="20"/>
          <w:szCs w:val="20"/>
          <w:color w:val="auto"/>
        </w:rPr>
      </w:pPr>
    </w:p>
    <w:p>
      <w:pPr>
        <w:jc w:val="both"/>
        <w:ind w:left="300" w:right="299" w:firstLine="640"/>
        <w:spacing w:after="0" w:line="249" w:lineRule="auto"/>
        <w:tabs>
          <w:tab w:leader="none" w:pos="133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the joint and several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9" w:lineRule="exact"/>
        <w:rPr>
          <w:rFonts w:ascii="Times New Roman" w:cs="Times New Roman" w:eastAsia="Times New Roman" w:hAnsi="Times New Roman"/>
          <w:sz w:val="20"/>
          <w:szCs w:val="20"/>
          <w:color w:val="auto"/>
        </w:rPr>
      </w:pPr>
    </w:p>
    <w:p>
      <w:pPr>
        <w:ind w:left="940" w:right="299" w:firstLine="648"/>
        <w:spacing w:after="0" w:line="269" w:lineRule="auto"/>
        <w:tabs>
          <w:tab w:leader="none" w:pos="194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4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5" w:name="page66"/>
    <w:bookmarkEnd w:id="65"/>
    <w:p>
      <w:pPr>
        <w:jc w:val="both"/>
        <w:ind w:left="940" w:right="319" w:firstLine="648"/>
        <w:spacing w:after="0" w:line="254" w:lineRule="auto"/>
        <w:tabs>
          <w:tab w:leader="none" w:pos="19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Company or any waiver by the L/C Issuer which does not in fact materially prejudice the Company;</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60" w:lineRule="auto"/>
        <w:tabs>
          <w:tab w:leader="none" w:pos="230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2" w:lineRule="exact"/>
        <w:rPr>
          <w:rFonts w:ascii="Times New Roman" w:cs="Times New Roman" w:eastAsia="Times New Roman" w:hAnsi="Times New Roman"/>
          <w:sz w:val="19"/>
          <w:szCs w:val="19"/>
          <w:color w:val="auto"/>
        </w:rPr>
      </w:pPr>
    </w:p>
    <w:p>
      <w:pPr>
        <w:jc w:val="both"/>
        <w:ind w:left="940" w:right="299" w:firstLine="648"/>
        <w:spacing w:after="0" w:line="254" w:lineRule="auto"/>
        <w:tabs>
          <w:tab w:leader="none" w:pos="230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Company or any Subsidiary or in the relevant currency markets generally; or</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85" w:lineRule="exact"/>
        <w:rPr>
          <w:sz w:val="20"/>
          <w:szCs w:val="20"/>
          <w:color w:val="auto"/>
        </w:rPr>
      </w:pPr>
    </w:p>
    <w:p>
      <w:pPr>
        <w:jc w:val="both"/>
        <w:ind w:left="300" w:right="299" w:firstLine="640"/>
        <w:spacing w:after="0" w:line="256" w:lineRule="auto"/>
        <w:tabs>
          <w:tab w:leader="none" w:pos="130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L/C Issuer</w:t>
      </w:r>
      <w:r>
        <w:rPr>
          <w:rFonts w:ascii="Times New Roman" w:cs="Times New Roman" w:eastAsia="Times New Roman" w:hAnsi="Times New Roman"/>
          <w:sz w:val="19"/>
          <w:szCs w:val="19"/>
          <w:color w:val="auto"/>
        </w:rPr>
        <w:t>.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jc w:val="both"/>
        <w:ind w:left="300" w:right="299" w:hanging="8"/>
        <w:spacing w:after="0"/>
        <w:tabs>
          <w:tab w:leader="none" w:pos="58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action taken or omitted in connection herewith at the request or with the approval of the Committed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Subject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the Borrowers hereby jointly and severally assume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the L/C Issuer, and the L/C Issuer may be liable to the Company, to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6" w:name="page67"/>
    <w:bookmarkEnd w:id="66"/>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extent, but only to the extent, of any direct, as opposed to consequential or exemplary, damages suffered by the Company which the Company proves were caused by the L/C Issuer’s willful misconduct or gross negligence (as determined by a court of competent jurisdiction in a final and non-appealable judgment), or the L/C Issuer’s willful failure to pay under any Letter of Credit after the presentation to it by the beneficiary of a sight draft and certificate(s) strictly complying with the terms and conditions of a Letter of Credit (subject to </w:t>
      </w:r>
      <w:r>
        <w:rPr>
          <w:rFonts w:ascii="Times New Roman" w:cs="Times New Roman" w:eastAsia="Times New Roman" w:hAnsi="Times New Roman"/>
          <w:sz w:val="20"/>
          <w:szCs w:val="20"/>
          <w:u w:val="single" w:color="auto"/>
          <w:color w:val="auto"/>
        </w:rPr>
        <w:t>Section 2.03(a)(iii)</w:t>
      </w:r>
      <w:r>
        <w:rPr>
          <w:rFonts w:ascii="Times New Roman" w:cs="Times New Roman" w:eastAsia="Times New Roman" w:hAnsi="Times New Roman"/>
          <w:sz w:val="20"/>
          <w:szCs w:val="20"/>
          <w:color w:val="auto"/>
        </w:rPr>
        <w: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96" w:lineRule="exact"/>
        <w:rPr>
          <w:sz w:val="20"/>
          <w:szCs w:val="20"/>
          <w:color w:val="auto"/>
        </w:rPr>
      </w:pPr>
    </w:p>
    <w:p>
      <w:pPr>
        <w:jc w:val="both"/>
        <w:ind w:left="300" w:right="299" w:firstLine="640"/>
        <w:spacing w:after="0" w:line="242" w:lineRule="auto"/>
        <w:tabs>
          <w:tab w:leader="none" w:pos="130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Limitation of Liability</w:t>
      </w:r>
      <w:r>
        <w:rPr>
          <w:rFonts w:ascii="Times New Roman" w:cs="Times New Roman" w:eastAsia="Times New Roman" w:hAnsi="Times New Roman"/>
          <w:sz w:val="20"/>
          <w:szCs w:val="20"/>
          <w:color w:val="auto"/>
        </w:rPr>
        <w:t>. Unless otherwise expressly agreed by the L/C Issuer and the Company when a Letter of Credit is issued (including any such agreement applicable to an Existing Letter of Credit), the rules of the ISP shall apply to each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International Chamber of Commerce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7"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0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Company shall pay to the Administrative Agent for the account of each Committed Lender in accordance,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with its Applicable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amount available to be drawn under such Letter of Credit.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94"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6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The Company shall pay directly to the L/C Issuer for its own account, in Dollars, a fronting fee with respect to each Letter of Credit, at the rate per annum specified in the Fee Letter with respect to such Letters of Credit issued by Bank of America, and with respect to such Letters of Credit issued by any other L/C Issuer, at a rate determined by the Company and such L/C Issuer,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7" w:name="page68"/>
    <w:bookmarkEnd w:id="67"/>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9" w:lineRule="exact"/>
        <w:rPr>
          <w:sz w:val="20"/>
          <w:szCs w:val="20"/>
          <w:color w:val="auto"/>
        </w:rPr>
      </w:pPr>
    </w:p>
    <w:p>
      <w:pPr>
        <w:ind w:left="300" w:right="299" w:firstLine="640"/>
        <w:spacing w:after="0" w:line="269" w:lineRule="auto"/>
        <w:tabs>
          <w:tab w:leader="none" w:pos="132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Company shall be obligated to reimburse the L/C Issuer hereunder for any and all drawings under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Reports</w:t>
      </w:r>
      <w:r>
        <w:rPr>
          <w:rFonts w:ascii="Times New Roman" w:cs="Times New Roman" w:eastAsia="Times New Roman" w:hAnsi="Times New Roman"/>
          <w:sz w:val="20"/>
          <w:szCs w:val="20"/>
          <w:color w:val="auto"/>
        </w:rPr>
        <w:t xml:space="preserve">. For so long as any Letter of Credit issued by an L/C Issuer (other than Bank of America) is outstanding, such L/C Issuer shall deliver to the Administrative Agent within five (5) Business Days after each calendar month, a report with information for every outstanding Letter of Credit issued by such L/C Issuer (which report may be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The Administrative Agent will notify the Lenders of its receipt of any such report and provide a copy thereof to any Lender following such Lender’s request.</w:t>
      </w:r>
    </w:p>
    <w:p>
      <w:pPr>
        <w:spacing w:after="0" w:line="18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Times New Roman" w:cs="Times New Roman" w:eastAsia="Times New Roman" w:hAnsi="Times New Roman"/>
          <w:sz w:val="19"/>
          <w:szCs w:val="19"/>
          <w:b w:val="1"/>
          <w:bCs w:val="1"/>
          <w:color w:val="auto"/>
        </w:rPr>
        <w:t>Swing Line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1" w:lineRule="auto"/>
        <w:tabs>
          <w:tab w:leader="none" w:pos="13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Committed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in Dollars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to the Company from time to time on any Business Day during the Availability Period with respect to the Committed Facility in an aggregate amount not to exceed at any time outstanding the amount of the Swing Line Sublimit, notwithstanding the fact that such Swing Line Loans, when aggregated with the Applicable Percentage of the Outstanding Amount of Committed Loans and L/C Obligations of the Lender acting as Swing Line Lender, may exceed the amount of such Lender’s Commitment; provided, however, that (x) after giving effect to any Swing Line Loan, (i) the Total Outstandings shall not exceed the Aggregate Commitments, and (ii) the Revolving Credit Exposure of any Lender shall not exceed such Lender’s Commitment, (y) the Company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Immediately upon the making of a Swing Line Loan, each Committed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87"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3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Each Swing Line Borrowing shall be made upon the Company’s irrevocable notice to the Swing Line Lender and the Administrative Agent, which may be given by (A) telephone or (B) a Swing Line Loan Notice; provided that any telephonic notice must be confirmed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8" w:name="page69"/>
    <w:bookmarkEnd w:id="68"/>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(ii) the requested borrowing date, which shall be a Business Day and (iii) the interest rate applicable thereto.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Committed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w:t>
      </w:r>
    </w:p>
    <w:p>
      <w:pPr>
        <w:spacing w:after="0" w:line="190" w:lineRule="exact"/>
        <w:rPr>
          <w:sz w:val="20"/>
          <w:szCs w:val="20"/>
          <w:color w:val="auto"/>
        </w:rPr>
      </w:pPr>
    </w:p>
    <w:p>
      <w:pPr>
        <w:ind w:left="1300" w:hanging="360"/>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discretion may request, on behalf of the Company (which hereby irrevocably authorizes the Swing Line Lender to so request on its behalf), that each Committed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Company with a copy of the applicable Committed Loan Notice promptly after delivering such notice to the Administrative Agent. Each Committed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Committed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Committed Lender that so makes funds available shall be deemed to have made a Base Rate Committed Loan to the Company in such amount. The Administrative Agent shall remit the funds so received to the Swing Line Lender.</w:t>
      </w:r>
    </w:p>
    <w:p>
      <w:pPr>
        <w:spacing w:after="0" w:line="188"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Committed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Committed Loans submitted by the Swing Line Lender as set forth herein shall be deemed to be a request by the Swing Line Lender that each of the Committed Lenders fund its risk participation in the relevant Swing Line Loan and each Committed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Committed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9" w:name="page70"/>
    <w:bookmarkEnd w:id="69"/>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 xml:space="preserve">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Committed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90" w:lineRule="exact"/>
        <w:rPr>
          <w:sz w:val="20"/>
          <w:szCs w:val="20"/>
          <w:color w:val="auto"/>
        </w:rPr>
      </w:pPr>
    </w:p>
    <w:p>
      <w:pPr>
        <w:jc w:val="both"/>
        <w:ind w:left="940" w:right="299" w:firstLine="648"/>
        <w:spacing w:after="0" w:line="242" w:lineRule="auto"/>
        <w:tabs>
          <w:tab w:leader="none" w:pos="194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Committed Lender’s obligation to make Committed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Committed Lender’s obligation to make Committed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No such funding of risk participations shall relieve or otherwise impair the obligation of the Company to repay Swing Line Loans, together with interest as provided herein.</w:t>
      </w:r>
    </w:p>
    <w:p>
      <w:pPr>
        <w:spacing w:after="0" w:line="192"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49" w:lineRule="auto"/>
        <w:tabs>
          <w:tab w:leader="none" w:pos="19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Committed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Committed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Committed Lenders under this clause shall survive the payment in full of the Obligations and the termination of this Agreement.</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Company for interest on the Swing Line Loans. Until each Committed Lender funds its Base Rate Committed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Applicable Percentage of any Swing Line Loan, interest in respect of such Applicable Percentage shall be solely for the account of the Swing Line Lender.</w:t>
      </w:r>
    </w:p>
    <w:p>
      <w:pPr>
        <w:spacing w:after="0" w:line="184"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Company shall make all payments of principal and interest in respect of the Swing Line Loans directly to the Swing Line Lender.</w:t>
      </w:r>
    </w:p>
    <w:p>
      <w:pPr>
        <w:spacing w:after="0" w:line="15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2.05</w:t>
      </w:r>
      <w:r>
        <w:rPr>
          <w:sz w:val="20"/>
          <w:szCs w:val="20"/>
          <w:color w:val="auto"/>
        </w:rPr>
        <w:tab/>
      </w:r>
      <w:r>
        <w:rPr>
          <w:rFonts w:ascii="Times New Roman" w:cs="Times New Roman" w:eastAsia="Times New Roman" w:hAnsi="Times New Roman"/>
          <w:sz w:val="20"/>
          <w:szCs w:val="20"/>
          <w:b w:val="1"/>
          <w:bCs w:val="1"/>
          <w:color w:val="auto"/>
        </w:rPr>
        <w:t>Prepayments</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0" w:name="page71"/>
    <w:bookmarkEnd w:id="70"/>
    <w:p>
      <w:pPr>
        <w:jc w:val="both"/>
        <w:ind w:left="940" w:right="299" w:firstLine="648"/>
        <w:spacing w:after="0" w:line="243" w:lineRule="auto"/>
        <w:tabs>
          <w:tab w:leader="none" w:pos="198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Committed Loans</w:t>
      </w:r>
      <w:r>
        <w:rPr>
          <w:rFonts w:ascii="Times New Roman" w:cs="Times New Roman" w:eastAsia="Times New Roman" w:hAnsi="Times New Roman"/>
          <w:sz w:val="20"/>
          <w:szCs w:val="20"/>
          <w:color w:val="auto"/>
        </w:rPr>
        <w:t xml:space="preserve">. Each Borrower may, upon notice from the Company to the Administrative Agent, at any time or from time to time voluntarily prepay Committed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in a form acceptable to the Administrative Agent and be received by the Administrative Agent not later than Noon (A) three Business Days prior to any date of prepayment of Daily Simple SOFR Loans and Term SOFR Loans or Alternative Currency Loans denominated in Canadian Dollars,</w:t>
      </w:r>
    </w:p>
    <w:p>
      <w:pPr>
        <w:spacing w:after="0" w:line="1" w:lineRule="exact"/>
        <w:rPr>
          <w:rFonts w:ascii="Times New Roman" w:cs="Times New Roman" w:eastAsia="Times New Roman" w:hAnsi="Times New Roman"/>
          <w:sz w:val="20"/>
          <w:szCs w:val="20"/>
          <w:color w:val="auto"/>
        </w:rPr>
      </w:pPr>
    </w:p>
    <w:p>
      <w:pPr>
        <w:jc w:val="both"/>
        <w:ind w:left="940" w:right="299"/>
        <w:spacing w:after="0" w:line="239" w:lineRule="auto"/>
        <w:tabs>
          <w:tab w:leader="none" w:pos="1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four Business Days (or five, in the case of prepayment of Loans denominated in Special Notice Currencies) prior to any date of prepayment of Alternative Currency Loans denominated in Alternative Currencies other than Canadian Dollars, and (C) on the date of prepayment of Base Rate Committed Loans; (ii) any prepayment of Daily Simple SOFR Loans or Term SOFR Loans or Alternative Currency Loans shall be in a principal amount of the Dollar Equivalent of $2,000,000 or a whole multiple of the Dollar Equivalent of $1,000,000 in excess thereof; and (iii) any prepayment of Base Rate Committed Loans shall be in a principal amount of $500,000 or a whole multiple of $100,000 in excess thereof or, in each case, if less, the entire principal amount thereof then outstanding. Each such notice shall specify the date, amount and currency of such prepayment and the Type(s) of Committed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Term SOFR Loan or an Alternative Currency Term Rate Loan shall be accompanied by all accrued interest on the amount prepaid, together, as applicable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such prepayment shall be applied to the Committed Loans of the Lenders in accordance with their respective Applicable Percentages. Notwithstanding the foregoing, any notice of prepayment pursuant to this Section delivered in connection with any refinancing of all of the credit facilities hereunder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Company in the event such contingency is not met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the Borrowers from their obligations in respect thereof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9" w:lineRule="exact"/>
        <w:rPr>
          <w:sz w:val="20"/>
          <w:szCs w:val="20"/>
          <w:color w:val="auto"/>
        </w:rPr>
      </w:pPr>
    </w:p>
    <w:p>
      <w:pPr>
        <w:ind w:left="1300" w:hanging="360"/>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Outstandings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588"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the Company at any time that the Total Outstandings at such time exceed an amount equal to 105% of the Aggregate Commitments then in effect, then, within two Business Days after receipt of such notice, the Borrowers shall prepay Loans and/or the Company shall Cash Collateralize the L/C</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1" w:name="page72"/>
    <w:bookmarkEnd w:id="71"/>
    <w:p>
      <w:pPr>
        <w:jc w:val="both"/>
        <w:ind w:left="1580" w:right="299"/>
        <w:spacing w:after="0" w:line="259" w:lineRule="auto"/>
        <w:rPr>
          <w:sz w:val="20"/>
          <w:szCs w:val="20"/>
          <w:color w:val="auto"/>
        </w:rPr>
      </w:pPr>
      <w:r>
        <w:rPr>
          <w:rFonts w:ascii="Times New Roman" w:cs="Times New Roman" w:eastAsia="Times New Roman" w:hAnsi="Times New Roman"/>
          <w:sz w:val="19"/>
          <w:szCs w:val="19"/>
          <w:color w:val="auto"/>
        </w:rPr>
        <w:t xml:space="preserve">Obligations in an aggregate amount at least equal to such excess;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subject to the provisions of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 xml:space="preserve">, the Company shall not be required to Cash Collateralize the L/C Obligations pursuant to this </w:t>
      </w:r>
      <w:r>
        <w:rPr>
          <w:rFonts w:ascii="Times New Roman" w:cs="Times New Roman" w:eastAsia="Times New Roman" w:hAnsi="Times New Roman"/>
          <w:sz w:val="19"/>
          <w:szCs w:val="19"/>
          <w:u w:val="single" w:color="auto"/>
          <w:color w:val="auto"/>
        </w:rPr>
        <w:t>Section 2.05(b)(i)(A)</w:t>
      </w:r>
      <w:r>
        <w:rPr>
          <w:rFonts w:ascii="Times New Roman" w:cs="Times New Roman" w:eastAsia="Times New Roman" w:hAnsi="Times New Roman"/>
          <w:sz w:val="19"/>
          <w:szCs w:val="19"/>
          <w:color w:val="auto"/>
        </w:rPr>
        <w:t xml:space="preserve"> unless after the prepayment in full of the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72" w:lineRule="exact"/>
        <w:rPr>
          <w:sz w:val="20"/>
          <w:szCs w:val="20"/>
          <w:color w:val="auto"/>
        </w:rPr>
      </w:pPr>
    </w:p>
    <w:p>
      <w:pPr>
        <w:jc w:val="both"/>
        <w:ind w:left="1580" w:right="299" w:firstLine="656"/>
        <w:spacing w:after="0" w:line="244" w:lineRule="auto"/>
        <w:tabs>
          <w:tab w:leader="none" w:pos="25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the Company at any time that the Outstanding Amount of all Loans denominated in Alternative Currencies at such time exceeds an amount equal to 105% of the Alternative Currency Sublimit then in effect, then, within two Business Days after receipt of such notice, the Borrowers shall prepay Loans in an aggregate amount sufficient to reduce such Outstanding Amount as of such date of payment to an amount not to exceed 100% of the Alternative Currency Sublimit then in effect.</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5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first day of each Seasonal Decrease Period, the Borrowers shall immediately repay Committed Loans, Swing Line Loans and L/C Borrowings (together with all accrued but unpaid interest thereon) in an aggregate amount sufficient to reduce the Total Outstandings as of such date to an amount not to exceed 100% of the Aggregate Commitments then in effect.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6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Effect on Obligations of Foreign Obligors</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the obligations of each Foreign Obligor with respect to prepayment of Loans shall not exceed their respective share of the Obligations in respect of the Loans to which such prepayment is to be applied.</w:t>
      </w:r>
    </w:p>
    <w:p>
      <w:pPr>
        <w:spacing w:after="0" w:line="17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2.06</w:t>
      </w:r>
      <w:r>
        <w:rPr>
          <w:sz w:val="20"/>
          <w:szCs w:val="20"/>
          <w:color w:val="auto"/>
        </w:rPr>
        <w:tab/>
      </w:r>
      <w:r>
        <w:rPr>
          <w:rFonts w:ascii="Times New Roman" w:cs="Times New Roman" w:eastAsia="Times New Roman" w:hAnsi="Times New Roman"/>
          <w:sz w:val="19"/>
          <w:szCs w:val="19"/>
          <w:b w:val="1"/>
          <w:bCs w:val="1"/>
          <w:color w:val="auto"/>
        </w:rPr>
        <w:t>Termination or Reduction of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tabs>
          <w:tab w:leader="none" w:pos="130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upon notice to the Administrative Agent, terminate the Aggregate Commitments, or from time to time permanently reduce the Aggregate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Noon five Business Days prior to the date of termination or reduction, (ii) any such partial reduction shall be in an aggregate amount of $10,000,000 or any whole multiple of $1,000,000 in excess thereof, (iii) the Company shall not terminate or reduce the Aggregate Commitments if, after giving effect thereto and to any concurrent prepayments hereunder, the Total Outstandings would exceed the Aggregate Commitments, (iv) if, after giving effect to any reduction of the Aggregate Commitments, the Letter of Credit Sublimit or the Swing Line Sublimit exceeds the amount of the Aggregate Commitments, such Sublimit shall be automatically reduced by the amount of such excess and (v) if, after giving effect to any reduction of the Aggregate Commitments, the Alternative Currency Sublimit exceeds the amount of the Aggregate Commitments, such Sublimit shall be automatically reduced by the amount of such excess. The Administrative Agent will promptly notify the Lenders of any such notice of termination or reduction of the Aggregate Commitments. The amount of any such Aggregate Commitment reduction shall not be applied to the Alternative Currency Sublimit unless otherwise specified by the Company. The amount of any such Aggregate Commitment reduction shall not be applied to the Letter of Credit 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 Notwithstanding the foregoing, any notice to reduce the Aggregate Commitments delivered in connection with any refinancing of all of the credit facilities hereunder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2" w:name="page73"/>
    <w:bookmarkEnd w:id="72"/>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may be revoked by the Company in the event such contingency is not met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the Borrowers from their obligations in respect thereof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0"/>
        <w:spacing w:after="0" w:line="241" w:lineRule="auto"/>
        <w:tabs>
          <w:tab w:leader="none" w:pos="130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Commitments shall automatically be reduced, on a pro rata basis among the applicable Lenders, by $300,000,000 as of the first day of each Seasonal Decrease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may elect, in its sole discretion, to either maintain the Aggregate Commitments during any Seasonal Decrease Period at the same level as in effect during the then current Seasonal Increase Period or reduce the Aggregate Commitments during any Seasonal Decrease Period by either $200,000,000 or $100,000,000 by giving the Administrative Agent notice of the same not later than the 10th Business Day preceding the first day of such Seasonal Decrease Period, which notice shall be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Seasonal Commitment Notice</w:t>
      </w:r>
      <w:r>
        <w:rPr>
          <w:rFonts w:ascii="Times New Roman" w:cs="Times New Roman" w:eastAsia="Times New Roman" w:hAnsi="Times New Roman"/>
          <w:sz w:val="20"/>
          <w:szCs w:val="20"/>
          <w:color w:val="auto"/>
        </w:rPr>
        <w:t>”). The Aggregate Commitments shall be automatically increased, on a pro rata basis among the Lenders, (i) by $300,000,000 as of the first day of each Seasonal Increase Period following a Seasonal Decrease Period for which a Seasonal Commitment Notice was not provided or (ii) if a Seasonal Commitment Notice electing a $200,000,000 or $100,000,000 reduction was provided, by $200,000,000 or $100,000,000, as the case may be, as of the first day of each Seasonal Increase Period following a Seasonal Decrease Period for which such a Seasonal Commitment Notice was provided. Notwithstanding the foregoing, no Seasonal Decrease Period shall apply from the Closing Date through March 1, 2027.</w:t>
      </w:r>
    </w:p>
    <w:p>
      <w:pPr>
        <w:spacing w:after="0" w:line="190" w:lineRule="exact"/>
        <w:rPr>
          <w:sz w:val="20"/>
          <w:szCs w:val="20"/>
          <w:color w:val="auto"/>
        </w:rPr>
      </w:pPr>
    </w:p>
    <w:p>
      <w:pPr>
        <w:jc w:val="both"/>
        <w:ind w:left="300" w:right="3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2.07 Repayment of Loans</w:t>
      </w:r>
      <w:r>
        <w:rPr>
          <w:rFonts w:ascii="Times New Roman" w:cs="Times New Roman" w:eastAsia="Times New Roman" w:hAnsi="Times New Roman"/>
          <w:sz w:val="20"/>
          <w:szCs w:val="20"/>
          <w:color w:val="auto"/>
        </w:rPr>
        <w:t>. (a) Each Borrower shall repay to the Committed Lenders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Maturity Date the aggregate principal amount of Committed Loans made to such Borrower outstanding on such date.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(b)  The Company shall repay each Swing Line Loan on the Maturity Date.</w:t>
      </w:r>
    </w:p>
    <w:p>
      <w:pPr>
        <w:spacing w:after="0" w:line="212"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b w:val="1"/>
          <w:bCs w:val="1"/>
          <w:color w:val="auto"/>
        </w:rPr>
        <w:t>2.08 Interest</w:t>
      </w:r>
      <w:r>
        <w:rPr>
          <w:rFonts w:ascii="Times New Roman" w:cs="Times New Roman" w:eastAsia="Times New Roman" w:hAnsi="Times New Roman"/>
          <w:sz w:val="19"/>
          <w:szCs w:val="19"/>
          <w:color w:val="auto"/>
        </w:rPr>
        <w:t>. (a) Subject to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(i) each Term SOFR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Loan shall bear interest on the outstanding principal amount thereof for each Interest Period at a rate per annum equal to Term SOFR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(ii) each Base Rate Committed Loan shall bear interest on the outstanding principal amount thereof from the applicable borrowing date at a rate per annum equal to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(iii)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(iv)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(v) each Swing Line Loan shall bear interest on the outstanding principal amount thereof from the applicable borrowing date at a rate per annum equal to, at the election of the Company, (x) Daily Simple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or (y) such other rate, if any, as may be separately agreed upon by the Company and the Swing Line Lender; and (vi) each Daily Simple SOFR Loan shall bear interest on the outstanding principal amount thereof from the applicable borrowing date at a rate per annum equal to Daily Simple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w:t>
      </w:r>
    </w:p>
    <w:p>
      <w:pPr>
        <w:spacing w:after="0" w:line="181" w:lineRule="exact"/>
        <w:rPr>
          <w:sz w:val="20"/>
          <w:szCs w:val="20"/>
          <w:color w:val="auto"/>
        </w:rPr>
      </w:pPr>
    </w:p>
    <w:p>
      <w:pPr>
        <w:ind w:left="300" w:right="319" w:firstLine="640"/>
        <w:spacing w:after="0" w:line="249" w:lineRule="auto"/>
        <w:tabs>
          <w:tab w:leader="none" w:pos="130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4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9" w:lineRule="exact"/>
        <w:rPr>
          <w:rFonts w:ascii="Times New Roman" w:cs="Times New Roman" w:eastAsia="Times New Roman" w:hAnsi="Times New Roman"/>
          <w:sz w:val="20"/>
          <w:szCs w:val="20"/>
          <w:color w:val="auto"/>
        </w:rPr>
      </w:pPr>
    </w:p>
    <w:p>
      <w:pPr>
        <w:jc w:val="both"/>
        <w:ind w:left="300" w:right="339" w:firstLine="640"/>
        <w:spacing w:after="0" w:line="295" w:lineRule="auto"/>
        <w:tabs>
          <w:tab w:leader="none" w:pos="130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on each Loan shall be due and payable in arrears on each Interest Payment Date applicable thereto and at such other times as may be specified herein. Interest hereunder shall be due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3" w:name="page74"/>
    <w:bookmarkEnd w:id="73"/>
    <w:p>
      <w:pPr>
        <w:ind w:left="300" w:right="299"/>
        <w:spacing w:after="0" w:line="269" w:lineRule="auto"/>
        <w:rPr>
          <w:sz w:val="20"/>
          <w:szCs w:val="20"/>
          <w:color w:val="auto"/>
        </w:rPr>
      </w:pPr>
      <w:r>
        <w:rPr>
          <w:rFonts w:ascii="Times New Roman" w:cs="Times New Roman" w:eastAsia="Times New Roman" w:hAnsi="Times New Roman"/>
          <w:sz w:val="20"/>
          <w:szCs w:val="20"/>
          <w:color w:val="auto"/>
        </w:rPr>
        <w:t>payable in accordance with the terms hereof before and after judgment, and before and after the commencement of any proceeding under any Debtor Relief Law.</w:t>
      </w:r>
    </w:p>
    <w:p>
      <w:pPr>
        <w:spacing w:after="0" w:line="15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2.09</w:t>
      </w:r>
      <w:r>
        <w:rPr>
          <w:sz w:val="20"/>
          <w:szCs w:val="20"/>
          <w:color w:val="auto"/>
        </w:rPr>
        <w:tab/>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In addition to certain fees described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subsections (h)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5" w:lineRule="auto"/>
        <w:tabs>
          <w:tab w:leader="none" w:pos="132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xml:space="preserve">. The Company shall pay to the Administrative Agent for the account of each Committed Lender in accordance with its Applicable Percentage, a commitment fee in Dollars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actual daily amount by which the Aggregate Commitments exceed the sum of (i) the Outstanding Amount of Committed Loans and (ii) the Outstanding Amount of L/C Obligations, subject to adjustment as provided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with respect to the Committed Facility, including at any time during which one or more of the conditions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9" w:lineRule="exact"/>
        <w:rPr>
          <w:rFonts w:ascii="Times New Roman" w:cs="Times New Roman" w:eastAsia="Times New Roman" w:hAnsi="Times New Roman"/>
          <w:sz w:val="19"/>
          <w:szCs w:val="19"/>
          <w:color w:val="auto"/>
        </w:rPr>
      </w:pPr>
    </w:p>
    <w:p>
      <w:pPr>
        <w:jc w:val="both"/>
        <w:ind w:left="300" w:right="299" w:firstLine="640"/>
        <w:spacing w:after="0" w:line="254" w:lineRule="auto"/>
        <w:tabs>
          <w:tab w:leader="none" w:pos="130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(i) The Company shall pay to BofA Securities and the Administrative Agent for their own respective accounts, in Dollars, fees in the amounts and at the times specified in the Fee Letter. Such fees shall be fully earned when paid and shall not be refundable for any reason whatsoever.</w:t>
      </w:r>
    </w:p>
    <w:p>
      <w:pPr>
        <w:spacing w:after="0" w:line="174" w:lineRule="exact"/>
        <w:rPr>
          <w:sz w:val="20"/>
          <w:szCs w:val="20"/>
          <w:color w:val="auto"/>
        </w:rPr>
      </w:pPr>
    </w:p>
    <w:p>
      <w:pPr>
        <w:jc w:val="both"/>
        <w:ind w:left="940" w:right="299" w:firstLine="648"/>
        <w:spacing w:after="0" w:line="254" w:lineRule="auto"/>
        <w:tabs>
          <w:tab w:leader="none" w:pos="19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2.10 Computation of Interest and Fees; Retroactive Adjustments of Applicable Rate</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computations of interest for Base Rate Loans (including Base Rate Loans determined by reference to Term SOFR) shall be made on the basis of a year of 365 or 366 days, as the case may be, and actual days elapsed. All computations of interest for Alternative Currency Loans shall be made on the basis of a year as set forth on </w:t>
      </w:r>
      <w:r>
        <w:rPr>
          <w:rFonts w:ascii="Times New Roman" w:cs="Times New Roman" w:eastAsia="Times New Roman" w:hAnsi="Times New Roman"/>
          <w:sz w:val="20"/>
          <w:szCs w:val="20"/>
          <w:u w:val="single" w:color="auto"/>
          <w:color w:val="auto"/>
        </w:rPr>
        <w:t>Schedule 2.10</w:t>
      </w:r>
      <w:r>
        <w:rPr>
          <w:rFonts w:ascii="Times New Roman" w:cs="Times New Roman" w:eastAsia="Times New Roman" w:hAnsi="Times New Roman"/>
          <w:sz w:val="20"/>
          <w:szCs w:val="20"/>
          <w:color w:val="auto"/>
        </w:rPr>
        <w:t xml:space="preserve"> for such Alternative Currency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91" w:lineRule="exact"/>
        <w:rPr>
          <w:sz w:val="20"/>
          <w:szCs w:val="20"/>
          <w:color w:val="auto"/>
        </w:rPr>
      </w:pPr>
    </w:p>
    <w:p>
      <w:pPr>
        <w:jc w:val="both"/>
        <w:ind w:left="300" w:right="299" w:firstLine="640"/>
        <w:spacing w:after="0" w:line="258" w:lineRule="auto"/>
        <w:tabs>
          <w:tab w:leader="none" w:pos="1308"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as a result of any restatement of or other adjustment to the financial statements of the Company or for any other reason (other than a restatement or adjustments due to a change in GAAP or the application thereof, to the extent permitted hereunder), the Company or the Lenders determine that (i) the Consolidated Leverage Ratio as calculated by the Company as of any applicable date was inaccurate and</w:t>
      </w:r>
    </w:p>
    <w:p>
      <w:pPr>
        <w:jc w:val="both"/>
        <w:ind w:left="300" w:right="299" w:hanging="8"/>
        <w:spacing w:after="0"/>
        <w:tabs>
          <w:tab w:leader="none" w:pos="6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4" w:name="page75"/>
    <w:bookmarkEnd w:id="74"/>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 xml:space="preserve">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Company’s obligations under this paragraph shall survive the termination of the Aggregate Commitments and the repayment of all other Obligations hereunder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but shall terminate on the first anniversary of the Termination Date.</w:t>
      </w:r>
    </w:p>
    <w:p>
      <w:pPr>
        <w:spacing w:after="0" w:line="18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2.11 Evidence of Debt</w:t>
      </w:r>
      <w:r>
        <w:rPr>
          <w:rFonts w:ascii="Times New Roman" w:cs="Times New Roman" w:eastAsia="Times New Roman" w:hAnsi="Times New Roman"/>
          <w:sz w:val="20"/>
          <w:szCs w:val="20"/>
          <w:color w:val="auto"/>
        </w:rPr>
        <w:t>. (a) The Credit Extensions made by each Lender shall be evidenced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9" w:lineRule="exact"/>
        <w:rPr>
          <w:sz w:val="20"/>
          <w:szCs w:val="20"/>
          <w:color w:val="auto"/>
        </w:rPr>
      </w:pPr>
    </w:p>
    <w:p>
      <w:pPr>
        <w:jc w:val="both"/>
        <w:ind w:left="300" w:right="299" w:firstLine="640"/>
        <w:spacing w:after="0" w:line="245" w:lineRule="auto"/>
        <w:tabs>
          <w:tab w:leader="none" w:pos="130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2.12 Payments Generally; Administrative Agent’s Clawback</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Alternative Currency Loans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5" w:name="page76"/>
    <w:bookmarkEnd w:id="75"/>
    <w:p>
      <w:pPr>
        <w:ind w:left="300" w:right="319"/>
        <w:spacing w:after="0" w:line="269" w:lineRule="auto"/>
        <w:rPr>
          <w:sz w:val="20"/>
          <w:szCs w:val="20"/>
          <w:color w:val="auto"/>
        </w:rPr>
      </w:pPr>
      <w:r>
        <w:rPr>
          <w:rFonts w:ascii="Times New Roman" w:cs="Times New Roman" w:eastAsia="Times New Roman" w:hAnsi="Times New Roman"/>
          <w:sz w:val="20"/>
          <w:szCs w:val="20"/>
          <w:color w:val="auto"/>
        </w:rPr>
        <w:t>shall be made on the next following Business Day, and such extension of time shall be reflected in computing interest or fees, as the case may be.</w:t>
      </w:r>
    </w:p>
    <w:p>
      <w:pPr>
        <w:spacing w:after="0" w:line="159" w:lineRule="exact"/>
        <w:rPr>
          <w:sz w:val="20"/>
          <w:szCs w:val="20"/>
          <w:color w:val="auto"/>
        </w:rPr>
      </w:pPr>
    </w:p>
    <w:p>
      <w:pPr>
        <w:jc w:val="both"/>
        <w:ind w:left="300" w:right="299" w:firstLine="640"/>
        <w:spacing w:after="0"/>
        <w:tabs>
          <w:tab w:leader="none" w:pos="130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Committed Borrowing of Term SOFR Loans or Alternative Currency Loans (or, in the case of any Committed Borrowing of Daily Simple SOFR Loans and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Committed Borrowing of Daily Simple SOFR Loans and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203"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201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w:t>
      </w:r>
    </w:p>
    <w:p>
      <w:pPr>
        <w:spacing w:after="0" w:line="186" w:lineRule="exact"/>
        <w:rPr>
          <w:sz w:val="20"/>
          <w:szCs w:val="20"/>
          <w:color w:val="auto"/>
        </w:rPr>
      </w:pPr>
    </w:p>
    <w:p>
      <w:pPr>
        <w:jc w:val="both"/>
        <w:ind w:left="940" w:right="299" w:firstLine="360"/>
        <w:spacing w:after="0" w:line="241"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6" w:name="page77"/>
    <w:bookmarkEnd w:id="76"/>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Borrower with respect to any amount owing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be conclusive, absent manifest error.</w:t>
      </w:r>
    </w:p>
    <w:p>
      <w:pPr>
        <w:spacing w:after="0" w:line="159" w:lineRule="exact"/>
        <w:rPr>
          <w:sz w:val="20"/>
          <w:szCs w:val="20"/>
          <w:color w:val="auto"/>
        </w:rPr>
      </w:pPr>
    </w:p>
    <w:p>
      <w:pPr>
        <w:jc w:val="both"/>
        <w:ind w:left="300" w:right="299" w:firstLine="640"/>
        <w:spacing w:after="0" w:line="245" w:lineRule="auto"/>
        <w:tabs>
          <w:tab w:leader="none" w:pos="130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Committed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2.13 Sharing of Payments by Lenders</w:t>
      </w:r>
      <w:r>
        <w:rPr>
          <w:rFonts w:ascii="Times New Roman" w:cs="Times New Roman" w:eastAsia="Times New Roman" w:hAnsi="Times New Roman"/>
          <w:sz w:val="20"/>
          <w:szCs w:val="20"/>
          <w:color w:val="auto"/>
        </w:rPr>
        <w:t>. If any Lender shall, by exercising any right of setoff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counterclaim or 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4" w:lineRule="exact"/>
        <w:rPr>
          <w:sz w:val="20"/>
          <w:szCs w:val="20"/>
          <w:color w:val="auto"/>
        </w:rPr>
      </w:pPr>
    </w:p>
    <w:p>
      <w:pPr>
        <w:jc w:val="both"/>
        <w:ind w:left="940" w:right="319" w:firstLine="648"/>
        <w:spacing w:after="0" w:line="254" w:lineRule="auto"/>
        <w:tabs>
          <w:tab w:leader="none" w:pos="194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or on behalf of any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or (z) any payment obtained by a Lender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7" w:name="page78"/>
    <w:bookmarkEnd w:id="77"/>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19"/>
          <w:szCs w:val="19"/>
          <w:b w:val="1"/>
          <w:bCs w:val="1"/>
          <w:color w:val="auto"/>
        </w:rPr>
        <w:t>Designated Borrowers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hanging="360"/>
        <w:spacing w:after="0"/>
        <w:tabs>
          <w:tab w:leader="none" w:pos="1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date hereof, there are no Designated Borrowers hereunder.</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tabs>
          <w:tab w:leader="none" w:pos="130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15 Business Days’ notice from the Company to the Administrative Agent (or such shorter period as may be agreed by the Administrative Agent in its sole discretion), designate any additional Restricted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Assumption 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credit facilities provided for herein the Administrative Agent and the Lenders shall have received such supporting resolutions, incumbency certificates, opinions of counsel and other documents or information (including, without limitation, all documentation and other information that such Person requests in order to comply with its ongoing obligations under applicable “know your customer” and anti-money laundering rules and regulations, including the Act), in form, content and scope reasonably satisfactory to the Administrative Agent, as may be required by the Administrative Agent or the Required Lenders in their sole discretion, and Notes signed by such new Borrowers to the extent any Lenders so require. If the Administrative Agent and the Required Lenders (or all Lenders, in the case of any Applicant Borrower that is a Foreign Subsidiary organized under the laws of a jurisdiction other than a jurisdiction in which any Designated Borrower is organized on the Closing Date)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Committed Loan Notice or Letter of Credit Application may be submitted by or on behalf of such Designated Borrower until the date five Business Days after such effective date.</w:t>
      </w:r>
    </w:p>
    <w:p>
      <w:pPr>
        <w:spacing w:after="0" w:line="203"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Guaranteed Obligations of the Company and each Designated Borrower shall be joint and several, subject to the limitations set forth more fully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56" w:lineRule="auto"/>
        <w:tabs>
          <w:tab w:leader="none" w:pos="130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Restricted Subsidiary of the Company that is or becomes a “Designated Borrower”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77" w:lineRule="exact"/>
        <w:rPr>
          <w:rFonts w:ascii="Times New Roman" w:cs="Times New Roman" w:eastAsia="Times New Roman" w:hAnsi="Times New Roman"/>
          <w:sz w:val="19"/>
          <w:szCs w:val="19"/>
          <w:color w:val="auto"/>
        </w:rPr>
      </w:pPr>
    </w:p>
    <w:p>
      <w:pPr>
        <w:jc w:val="both"/>
        <w:ind w:left="300" w:right="299" w:firstLine="640"/>
        <w:spacing w:after="0" w:line="246" w:lineRule="auto"/>
        <w:tabs>
          <w:tab w:leader="none" w:pos="130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8" w:name="page79"/>
    <w:bookmarkEnd w:id="78"/>
    <w:p>
      <w:pPr>
        <w:ind w:left="300" w:right="319"/>
        <w:spacing w:after="0" w:line="269" w:lineRule="auto"/>
        <w:rPr>
          <w:sz w:val="20"/>
          <w:szCs w:val="20"/>
          <w:color w:val="auto"/>
        </w:rPr>
      </w:pPr>
      <w:r>
        <w:rPr>
          <w:rFonts w:ascii="Times New Roman" w:cs="Times New Roman" w:eastAsia="Times New Roman" w:hAnsi="Times New Roman"/>
          <w:sz w:val="20"/>
          <w:szCs w:val="20"/>
          <w:color w:val="auto"/>
        </w:rPr>
        <w:t>Administrative Agent will promptly notify the Lenders of any such termination of a Designated Borrower’s status.</w:t>
      </w:r>
    </w:p>
    <w:p>
      <w:pPr>
        <w:spacing w:after="0" w:line="159" w:lineRule="exact"/>
        <w:rPr>
          <w:sz w:val="20"/>
          <w:szCs w:val="20"/>
          <w:color w:val="auto"/>
        </w:rPr>
      </w:pPr>
    </w:p>
    <w:p>
      <w:pPr>
        <w:jc w:val="both"/>
        <w:ind w:left="300" w:right="299" w:firstLine="640"/>
        <w:spacing w:after="0" w:line="243" w:lineRule="auto"/>
        <w:tabs>
          <w:tab w:leader="none" w:pos="130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in connection with any Foreign Subsidiary becoming a “Designated Borrower” hereunder, this Agreement and the other Loan Documents may, at the request of the Administrative Agent, be amended pursuant to a written agreement between the Borrowers and the Administrative Agent (without the consent of any Lenders) to reflect such changes as may be necessary or appropriate, in the opinion of the Administrative Agent, to reflect such technical provisions applicable to a borrower organized under the laws of the same foreign jurisdiction as such Foreign Subsidiary as are customarily included within U.S. law governed syndicated credit facilities of this type. Upon execution, the Administrative Agent shall provide a copy of such amendment(s) to all Lenders.</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color w:val="auto"/>
        </w:rPr>
        <w:t>Increase Option.</w:t>
      </w:r>
    </w:p>
    <w:p>
      <w:pPr>
        <w:spacing w:after="0" w:line="220" w:lineRule="exact"/>
        <w:rPr>
          <w:sz w:val="20"/>
          <w:szCs w:val="20"/>
          <w:color w:val="auto"/>
        </w:rPr>
      </w:pPr>
    </w:p>
    <w:p>
      <w:pPr>
        <w:jc w:val="both"/>
        <w:ind w:left="300" w:right="299" w:firstLine="640"/>
        <w:spacing w:after="0" w:line="241" w:lineRule="auto"/>
        <w:tabs>
          <w:tab w:leader="none" w:pos="136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Provided there exists no Event of Default, upon notice to the Administrative Agent, the Company may from time to time request (i) one or more incremental term loan commitments (each, an “</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to make one or more additional term loans, including a borrowing of an additional term loan the principal amount of which will be added to the outstanding principal amount of the existing tranche of outstanding term loans under this Agreement with the Latest Maturity Date (any such additional term loan,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and/or (ii) one or more increases in the Aggregate Commitments (both during the Seasonal Increase Period and during the Seasonal Decrease Period) (each, an “</w:t>
      </w:r>
      <w:r>
        <w:rPr>
          <w:rFonts w:ascii="Times New Roman" w:cs="Times New Roman" w:eastAsia="Times New Roman" w:hAnsi="Times New Roman"/>
          <w:sz w:val="20"/>
          <w:szCs w:val="20"/>
          <w:u w:val="single" w:color="auto"/>
          <w:color w:val="auto"/>
        </w:rPr>
        <w:t>Incremental Revolving Increase</w:t>
      </w:r>
      <w:r>
        <w:rPr>
          <w:rFonts w:ascii="Times New Roman" w:cs="Times New Roman" w:eastAsia="Times New Roman" w:hAnsi="Times New Roman"/>
          <w:sz w:val="20"/>
          <w:szCs w:val="20"/>
          <w:color w:val="auto"/>
        </w:rPr>
        <w:t>” and, together with the Incremental Term Loan Commitments and Incremental Term Loans, the “</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initial principal amount (as of the date of incurrence or availability thereof) of all such requested Incremental Increases shall not exceed $375,000,000, (ii) any such request for an Incremental Increase shall be in a minimum amount of $25,000,000 or a whole multiple of $5,000,000 in excess thereof (or, in either case, such lesser amount as may be acceptable to the Administrative Agent), and (iii) the Company may make a maximum of six such requests;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increase in the Aggregate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without the consent of the Required Lenders.</w:t>
      </w:r>
    </w:p>
    <w:p>
      <w:pPr>
        <w:spacing w:after="0" w:line="190"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0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Lender Elections</w:t>
      </w:r>
      <w:r>
        <w:rPr>
          <w:rFonts w:ascii="Times New Roman" w:cs="Times New Roman" w:eastAsia="Times New Roman" w:hAnsi="Times New Roman"/>
          <w:sz w:val="20"/>
          <w:szCs w:val="20"/>
          <w:color w:val="auto"/>
        </w:rPr>
        <w:t>. Each notice from the Company pursuant to this Section shall set forth the requested amount and proposed terms of the applicable Incremental Increase. Incremental Increases may be made by any existing Lender or by any other bank or financial institution that is an Eligible Assignee (any such bank or other financial institution, together with any existing Lenders providing all or any portion of an Incremental Increase,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in each case on terms permitted in this Section and otherwise on terms reasonably acceptable to the Administrative Agent. At the time of sending such notice, the Company (in consultation with the Administrative Agent) shall specify the time period within which each proposed Incremental Lender is requested to respond (which shall in no event be less than ten Business Days (or such shorter period as agreed to by the Administrative Agent)) from the date of delivery of such notice to such proposed Incremental Lenders). Each proposed Incremental Lender shall notify the Administrative Agent within such time period whether or not it agrees to provide an Incremental Increase and, if so, whether by an amount equal to, greater than, or less than the requested increase;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no Lender shall be obligated to provide any such requested increase and each Lender may elect or decline to do so in its sole discretion. Any Lender not responding within such time period shall be deemed to have declined to provide any portion of the proposed Incremental Increase. Any additional Eligible Assignee invited to become a Lender pursuant to an Incremental Increase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become a Lender hereunder pursuant to a joinder agreement in form and substance reasonably satisfactory to the Administrative Agent and its counsel.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9" w:name="page80"/>
    <w:bookmarkEnd w:id="79"/>
    <w:p>
      <w:pPr>
        <w:jc w:val="both"/>
        <w:ind w:left="300" w:right="299" w:firstLine="640"/>
        <w:spacing w:after="0" w:line="254" w:lineRule="auto"/>
        <w:tabs>
          <w:tab w:leader="none" w:pos="130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Incremental Increases</w:t>
      </w:r>
      <w:r>
        <w:rPr>
          <w:rFonts w:ascii="Times New Roman" w:cs="Times New Roman" w:eastAsia="Times New Roman" w:hAnsi="Times New Roman"/>
          <w:sz w:val="20"/>
          <w:szCs w:val="20"/>
          <w:color w:val="auto"/>
        </w:rPr>
        <w:t xml:space="preserve">. The terms of each Incremental Increase (which shall be set forth in the relevant Incremental Amendment) shall be determined by the Company and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Incremental Term Loan, such Incremental Term Loan will satisfy each of the Permitted Indebtedness Conditions; and</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43" w:lineRule="auto"/>
        <w:tabs>
          <w:tab w:leader="none" w:pos="194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each Incremental Revolving Increase, each such Incremental Revolving Increase shall have the same terms, including maturity, Applicable Rate, as, and be a part of, the Committed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upfront fees payable by the Borrowers to the Lenders under any Incremental Revolving Increases may differ from those payable under the then existing Commitments and (B) the Applicable Rate or interest rate floor applicable to any Incremental Revolving Increase may be higher than the Applicable Rate or interest rate floor applicable to the Committed Facility if the Applicable Rate or interest rate floor applicable to the Committed Facility is increased to equal the Applicable Rate and interest rate floor applicable to such Incremental Revolving Increase.</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2" w:lineRule="auto"/>
        <w:tabs>
          <w:tab w:leader="none" w:pos="132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Each such Incremental Increase shall be effected pursuant to an amendment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to this Agreement and, as appropriate, the other Loan Documents, executed by the Borrowers, the other Loan Parties, each applicable Incremental Lender and the Administrative Agent. An Incremental Amendment may, without the consent of any other Lenders, effect such amendments to any Loan Documents as may be necessary or appropriate, in the opinion of the Administrative Agent, to effect the provisions of this Section (including, without limitation, to incorporate the Incremental Increase into the calculation of the “Required Lenders” and related provisions and to permit Incremental Lenders with respect to Incremental Term Loans, as to customary matters, to be entitled to vote as a separate class with other Incremental Lenders with Incremental Term Loans to the extent provided in the applicable Incremental Amendment)). Upon execution, the Administrative Agent shall provide a copy of any Incremental Amendment to all Lenders.</w:t>
      </w:r>
    </w:p>
    <w:p>
      <w:pPr>
        <w:spacing w:after="0" w:line="189" w:lineRule="exact"/>
        <w:rPr>
          <w:rFonts w:ascii="Times New Roman" w:cs="Times New Roman" w:eastAsia="Times New Roman" w:hAnsi="Times New Roman"/>
          <w:sz w:val="20"/>
          <w:szCs w:val="20"/>
          <w:color w:val="auto"/>
        </w:rPr>
      </w:pPr>
    </w:p>
    <w:p>
      <w:pPr>
        <w:jc w:val="both"/>
        <w:ind w:left="300" w:right="319" w:firstLine="640"/>
        <w:spacing w:after="0" w:line="246" w:lineRule="auto"/>
        <w:tabs>
          <w:tab w:leader="none" w:pos="132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any Incremental Increase is effected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Administrative Agent and the Company shall determine the effective date (each, an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and the final allocation thereof. The Administrative Agent shall promptly notify the Company and the Incremental Lenders of the final allocation of such addition and the Increase Effective Date.</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2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xml:space="preserve">. The effectiveness of any Incremental Amendment shall be subject to the satisfaction on the Increase Effective Date of each of the following conditions, which, in the case of an Incremental Term Loan incurred solely to finance a substantially concurrent Limited Condition Transaction, shall be subject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4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the other Loan Documents shall be true and correct in all material respects (or, to the extent any such representation and warranty is subject to a materiality or Material Adverse Effect qualification, in all respects) on and as of the Increase Effective Date, except to the extent that such representations and warranties specifically refer to an earlier date, in which case they shall be true and correct in all material respects (or, to the extent any such representation and warranty is subject to a materiality or Material Adverse Effect qualification, in all respects) as of such earlier date, and except that 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0" w:name="page81"/>
    <w:bookmarkEnd w:id="80"/>
    <w:p>
      <w:pPr>
        <w:jc w:val="both"/>
        <w:ind w:left="940" w:right="299" w:firstLine="648"/>
        <w:spacing w:after="0" w:line="254" w:lineRule="auto"/>
        <w:tabs>
          <w:tab w:leader="none" w:pos="194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as of such Increase Effective Date immediately prior to or after giving effect to (A) such Incremental Increase or (B) the making of the initial Extensions of Credit pursuant thereto;</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Restricted Subsidiaries are in compliance with each financial covenant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calculated on a Pro Forma Basis pursuant to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(and assuming that any Incremental Term Loan Commitments are fully drawn);</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4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each of the following, each dated the applicable Increase Effective Date unless otherwise indicated or agreed to by the Administrative Agent and each in form and substance reasonably satisfactory to the Administrative Agent: (A) the applicable Incremental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Incremental Amendment and the Incremental Increase provided thereby, and in the case of the Company, certifying as to the satisfaction of the conditions set forth in the foregoing </w:t>
      </w:r>
      <w:r>
        <w:rPr>
          <w:rFonts w:ascii="Times New Roman" w:cs="Times New Roman" w:eastAsia="Times New Roman" w:hAnsi="Times New Roman"/>
          <w:sz w:val="20"/>
          <w:szCs w:val="20"/>
          <w:u w:val="single" w:color="auto"/>
          <w:color w:val="auto"/>
        </w:rPr>
        <w:t>subsections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204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prepay any Committed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to the extent necessary to keep the outstanding Committed Loans ratable with any revised Applicable Percentages with respect to the Committed Facility arising from any nonratable increase in the Commitments under this Section.</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46" w:lineRule="auto"/>
        <w:tabs>
          <w:tab w:leader="none" w:pos="13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and Ratable Benefit</w:t>
      </w:r>
      <w:r>
        <w:rPr>
          <w:rFonts w:ascii="Times New Roman" w:cs="Times New Roman" w:eastAsia="Times New Roman" w:hAnsi="Times New Roman"/>
          <w:sz w:val="20"/>
          <w:szCs w:val="20"/>
          <w:color w:val="auto"/>
        </w:rPr>
        <w:t xml:space="preserve">. The Loans and Commitments established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constitute Loans and Commitments under, and shall be entitled to all the benefits afforded by, this Agreement and the other Loan Documents, and shall, without limiting the foregoing, benefit equally and ratably from the Guarantees and security interests (if any) created by the Loan Documents.</w:t>
      </w:r>
    </w:p>
    <w:p>
      <w:pPr>
        <w:spacing w:after="0" w:line="184"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15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color w:val="auto"/>
        </w:rPr>
        <w:t>Cash Collateral.</w:t>
      </w:r>
    </w:p>
    <w:p>
      <w:pPr>
        <w:spacing w:after="0" w:line="220" w:lineRule="exact"/>
        <w:rPr>
          <w:sz w:val="20"/>
          <w:szCs w:val="20"/>
          <w:color w:val="auto"/>
        </w:rPr>
      </w:pPr>
    </w:p>
    <w:p>
      <w:pPr>
        <w:jc w:val="both"/>
        <w:ind w:left="300" w:right="299" w:firstLine="640"/>
        <w:spacing w:after="0" w:line="241" w:lineRule="auto"/>
        <w:tabs>
          <w:tab w:leader="none" w:pos="130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20"/>
          <w:szCs w:val="20"/>
          <w:u w:val="single" w:color="auto"/>
          <w:color w:val="auto"/>
        </w:rPr>
        <w:t>Section 8.02(c)</w:t>
      </w:r>
      <w:r>
        <w:rPr>
          <w:rFonts w:ascii="Times New Roman" w:cs="Times New Roman" w:eastAsia="Times New Roman" w:hAnsi="Times New Roman"/>
          <w:sz w:val="20"/>
          <w:szCs w:val="20"/>
          <w:color w:val="auto"/>
        </w:rPr>
        <w:t xml:space="preserve">, or (iv) there shall exist a Defaulting Lender, the Company shall immediately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the Defaulting Lender). Additionally, if the Administrative Agent notifies the Company at any time that the Outstanding Amount of all L/C Obligations at such time exceeds 105%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1" w:name="page82"/>
    <w:bookmarkEnd w:id="81"/>
    <w:p>
      <w:pPr>
        <w:jc w:val="both"/>
        <w:ind w:left="300" w:right="299" w:firstLine="640"/>
        <w:spacing w:after="0" w:line="241" w:lineRule="auto"/>
        <w:tabs>
          <w:tab w:leader="none" w:pos="133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Company,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4"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43" w:lineRule="auto"/>
        <w:tabs>
          <w:tab w:leader="none" w:pos="13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10.06(b)(vi)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Person providing Cash Collateral and the L/C Issuer may agree that Cash Collateral shall not be released but instead held to support future anticipated Fronting Exposure or other obligations.</w:t>
      </w:r>
    </w:p>
    <w:p>
      <w:pPr>
        <w:spacing w:after="0" w:line="18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4" w:lineRule="auto"/>
        <w:tabs>
          <w:tab w:leader="none" w:pos="130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L/C Issuer or Swing Line Lender hereunder; third,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fourth, as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2" w:name="page83"/>
    <w:bookmarkEnd w:id="82"/>
    <w:p>
      <w:pPr>
        <w:jc w:val="both"/>
        <w:ind w:left="940" w:right="299"/>
        <w:spacing w:after="0"/>
        <w:rPr>
          <w:sz w:val="20"/>
          <w:szCs w:val="20"/>
          <w:color w:val="auto"/>
        </w:rPr>
      </w:pPr>
      <w:r>
        <w:rPr>
          <w:rFonts w:ascii="Times New Roman" w:cs="Times New Roman" w:eastAsia="Times New Roman" w:hAnsi="Times New Roman"/>
          <w:sz w:val="20"/>
          <w:szCs w:val="20"/>
          <w:color w:val="auto"/>
        </w:rPr>
        <w:t xml:space="preserve">Company may request (so long as no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sixth,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seventh,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203" w:lineRule="exact"/>
        <w:rPr>
          <w:sz w:val="20"/>
          <w:szCs w:val="20"/>
          <w:color w:val="auto"/>
        </w:rPr>
      </w:pPr>
    </w:p>
    <w:p>
      <w:pPr>
        <w:ind w:left="1940" w:hanging="352"/>
        <w:spacing w:after="0"/>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58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9"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58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which is a Committed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588"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fee payable under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or any Letter of Credit Fee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the Company shall (x) pay to each Non-Defaulting Lender which is a Committed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below, (y) pay to the Swing Line Lender and the applicable L/C Issuer, as applicable, the amount of any such fee otherwise payable to such Defaulting Lender to the extent allocable to such L/C Issuer’s or the Swing Line Lender’s Fronting Exposure to such Defaulting Lender, and</w:t>
      </w:r>
    </w:p>
    <w:p>
      <w:pPr>
        <w:spacing w:after="0" w:line="6" w:lineRule="exact"/>
        <w:rPr>
          <w:rFonts w:ascii="Times New Roman" w:cs="Times New Roman" w:eastAsia="Times New Roman" w:hAnsi="Times New Roman"/>
          <w:sz w:val="19"/>
          <w:szCs w:val="19"/>
          <w:color w:val="auto"/>
        </w:rPr>
      </w:pPr>
    </w:p>
    <w:p>
      <w:pPr>
        <w:ind w:left="1860" w:hanging="272"/>
        <w:spacing w:after="0"/>
        <w:tabs>
          <w:tab w:leader="none" w:pos="18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required to pay the remaining amount of any such fee.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3" w:name="page84"/>
    <w:bookmarkEnd w:id="83"/>
    <w:p>
      <w:pPr>
        <w:jc w:val="both"/>
        <w:ind w:left="940" w:right="299" w:firstLine="648"/>
        <w:spacing w:after="0" w:line="256" w:lineRule="auto"/>
        <w:tabs>
          <w:tab w:leader="none" w:pos="1961"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Applicable Percentages to Reduce Fronting Exposure</w:t>
      </w:r>
      <w:r>
        <w:rPr>
          <w:rFonts w:ascii="Times New Roman" w:cs="Times New Roman" w:eastAsia="Times New Roman" w:hAnsi="Times New Roman"/>
          <w:sz w:val="19"/>
          <w:szCs w:val="19"/>
          <w:color w:val="auto"/>
        </w:rPr>
        <w:t xml:space="preserve">. All or any part of such Defaulting Lender’s participation in L/C Obligations and Swing Line Loans shall be reallocated among the Non-Defaulting Lenders which are Committed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0" w:lineRule="exact"/>
        <w:rPr>
          <w:rFonts w:ascii="Times New Roman" w:cs="Times New Roman" w:eastAsia="Times New Roman" w:hAnsi="Times New Roman"/>
          <w:sz w:val="19"/>
          <w:szCs w:val="19"/>
          <w:color w:val="auto"/>
        </w:rPr>
      </w:pPr>
    </w:p>
    <w:p>
      <w:pPr>
        <w:jc w:val="both"/>
        <w:ind w:left="940" w:right="299" w:firstLine="648"/>
        <w:spacing w:after="0" w:line="245" w:lineRule="auto"/>
        <w:tabs>
          <w:tab w:leader="none" w:pos="1961"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w:t>
      </w:r>
    </w:p>
    <w:p>
      <w:pPr>
        <w:ind w:left="940" w:right="299"/>
        <w:spacing w:after="0" w:line="246" w:lineRule="auto"/>
        <w:tabs>
          <w:tab w:leader="none" w:pos="1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300" w:right="299" w:firstLine="640"/>
        <w:spacing w:after="0" w:line="241" w:lineRule="auto"/>
        <w:tabs>
          <w:tab w:leader="none" w:pos="132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Company, the Administrative Agent and, in the case that a Defaulting Lender is a Committed Lender,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in the case of the Committed Facility,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19"/>
          <w:szCs w:val="19"/>
          <w:b w:val="1"/>
          <w:bCs w:val="1"/>
          <w:color w:val="auto"/>
        </w:rPr>
        <w:t>Designation of Unrestricted and Restricted Subsidiaries.</w:t>
      </w:r>
    </w:p>
    <w:p>
      <w:pPr>
        <w:spacing w:after="0" w:line="220" w:lineRule="exact"/>
        <w:rPr>
          <w:sz w:val="20"/>
          <w:szCs w:val="20"/>
          <w:color w:val="auto"/>
        </w:rPr>
      </w:pPr>
    </w:p>
    <w:p>
      <w:pPr>
        <w:jc w:val="both"/>
        <w:ind w:left="300" w:right="299" w:firstLine="640"/>
        <w:spacing w:after="0" w:line="254" w:lineRule="auto"/>
        <w:tabs>
          <w:tab w:leader="none" w:pos="1308"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on or after the Closing Date, upon written notice to the Administrative Agent (which written notice shall contain a certification as to the matters set forth in this </w:t>
      </w:r>
      <w:r>
        <w:rPr>
          <w:rFonts w:ascii="Times New Roman" w:cs="Times New Roman" w:eastAsia="Times New Roman" w:hAnsi="Times New Roman"/>
          <w:sz w:val="19"/>
          <w:szCs w:val="19"/>
          <w:u w:val="single" w:color="auto"/>
          <w:color w:val="auto"/>
        </w:rPr>
        <w:t>Section 2.18(a)</w:t>
      </w:r>
      <w:r>
        <w:rPr>
          <w:rFonts w:ascii="Times New Roman" w:cs="Times New Roman" w:eastAsia="Times New Roman" w:hAnsi="Times New Roman"/>
          <w:sz w:val="19"/>
          <w:szCs w:val="19"/>
          <w:color w:val="auto"/>
        </w:rPr>
        <w:t xml:space="preserve">), the Company may designate any Restricted Subsidiary (along with all Subsidiaries of such Restricted Subsidiary) as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both immediately before and immediately after giving effect to such designation, no Default or Event of Default shall have occurred and be continuing or would result therefrom, (ii) once designated as an Unrestricted Subsidiary, the Company may re-designate such Subsidiary as a “Restricted Subsidiary”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but, thereafter, the Company shall not re-designate such Subsidiary as an “Unrestricted Subsidiary” pursuant to this </w:t>
      </w:r>
      <w:r>
        <w:rPr>
          <w:rFonts w:ascii="Times New Roman" w:cs="Times New Roman" w:eastAsia="Times New Roman" w:hAnsi="Times New Roman"/>
          <w:sz w:val="19"/>
          <w:szCs w:val="19"/>
          <w:u w:val="single" w:color="auto"/>
          <w:color w:val="auto"/>
        </w:rPr>
        <w:t>Section 2.18(a)</w:t>
      </w:r>
      <w:r>
        <w:rPr>
          <w:rFonts w:ascii="Times New Roman" w:cs="Times New Roman" w:eastAsia="Times New Roman" w:hAnsi="Times New Roman"/>
          <w:sz w:val="19"/>
          <w:szCs w:val="19"/>
          <w:color w:val="auto"/>
        </w:rPr>
        <w:t xml:space="preserve">, (iii) no Subsidiary may be designated as an Unrestricted Subsidiary or continue as an Unrestricted Subsidiary (A) if it is a Borrower or a Subsidiary Guarantor or (B) unless each of its direct and indirect Subsidiaries is also designated an Unrestricted Subsidiary pursuant to this </w:t>
      </w:r>
      <w:r>
        <w:rPr>
          <w:rFonts w:ascii="Times New Roman" w:cs="Times New Roman" w:eastAsia="Times New Roman" w:hAnsi="Times New Roman"/>
          <w:sz w:val="19"/>
          <w:szCs w:val="19"/>
          <w:u w:val="single" w:color="auto"/>
          <w:color w:val="auto"/>
        </w:rPr>
        <w:t>Section 2.18(a)</w:t>
      </w:r>
      <w:r>
        <w:rPr>
          <w:rFonts w:ascii="Times New Roman" w:cs="Times New Roman" w:eastAsia="Times New Roman" w:hAnsi="Times New Roman"/>
          <w:sz w:val="19"/>
          <w:szCs w:val="19"/>
          <w:color w:val="auto"/>
        </w:rPr>
        <w:t xml:space="preserve"> and</w:t>
      </w:r>
    </w:p>
    <w:p>
      <w:pPr>
        <w:spacing w:after="0" w:line="3" w:lineRule="exact"/>
        <w:rPr>
          <w:rFonts w:ascii="Times New Roman" w:cs="Times New Roman" w:eastAsia="Times New Roman" w:hAnsi="Times New Roman"/>
          <w:sz w:val="19"/>
          <w:szCs w:val="19"/>
          <w:color w:val="auto"/>
        </w:rPr>
      </w:pPr>
    </w:p>
    <w:p>
      <w:pPr>
        <w:jc w:val="both"/>
        <w:ind w:left="300" w:right="299" w:hanging="8"/>
        <w:spacing w:after="0" w:line="242" w:lineRule="auto"/>
        <w:tabs>
          <w:tab w:leader="none" w:pos="67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designation, the Company and its Restricted Subsidiaries shall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(calculated on a Pro Forma Basis pursuant to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4" w:name="page85"/>
    <w:bookmarkEnd w:id="84"/>
    <w:p>
      <w:pPr>
        <w:jc w:val="both"/>
        <w:ind w:left="300" w:right="299" w:firstLine="640"/>
        <w:spacing w:after="0" w:line="241" w:lineRule="auto"/>
        <w:tabs>
          <w:tab w:leader="none" w:pos="130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Closing Date and upon written notice to the Administrative Agent (which written notice shall contain a certification as to the matters set forth in this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the Company may re-designate any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designation of any Subsidiary as an Unrestricted Subsidiary after the Closing Date shall constitute an Investment by the Company or the applicable Restricted Subsidiary therein in an amount equal to the fair market value (as reasonably determined by the Company in good faith) of the Company’s or its applicable Restricted Subsidiary’s (as applicable) Investment therein as determined at the time of such designation. The designation of an Unrestricted Subsidiary as a Restricted Subsidiary shall constitute (i) the incurrence, at the time of designation, of any Investment, Indebtedness or Liens of such Subsidiary existing or outstanding at such time and (ii) a return on any Investment made by the Company and its Restricted Subsidiaries in such Unrestricted Subsidiary pursuant to the preceding sentence in an amount equal to the fair market value (as reasonably determined by the Company in good faith) of the Company’s or its Restricted Subsidiary’s (as applicable) Investment as determined at the time of such designation of such Subsidiary as an Unrestricted Subsidiary.</w:t>
      </w:r>
    </w:p>
    <w:p>
      <w:pPr>
        <w:spacing w:after="0" w:line="191"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as applicable, are satisfied in all respects.</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Unrestricted Subsidiaries as of the Closing Date are set forth on </w:t>
      </w:r>
      <w:r>
        <w:rPr>
          <w:rFonts w:ascii="Times New Roman" w:cs="Times New Roman" w:eastAsia="Times New Roman" w:hAnsi="Times New Roman"/>
          <w:sz w:val="20"/>
          <w:szCs w:val="20"/>
          <w:u w:val="single" w:color="auto"/>
          <w:color w:val="auto"/>
        </w:rPr>
        <w:t>Schedule 2.18</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in no event shall (i) any Subsidiary be designated as an Unrestricted Subsidiary if it, or if any of its Subsidiaries, owns or holds (including by way of an exclusive license or right or otherwise) any Material Asset, (ii) any Unrestricted Subsidiary, or if any of its Subsidiaries, own or hold (including by way of an exclusive license or otherwise) any Material Asset or (iii) the Company or any Restricted Subsidiary transfer (whether by way of any Restricted Payment, Investment, Lien, sale, conveyance, transfer or other Disposition (including an exclusive license), and whether in a single transaction or a series of transactions, and whether directly or indirectly (including by way of the transfer of any Equity Interests)) to any Unrestricted Subsidiary, or any of its Subsidiaries, any Material Asset.</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b w:val="1"/>
          <w:bCs w:val="1"/>
          <w:color w:val="auto"/>
        </w:rPr>
        <w:t>Joint and Several Obligations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3" w:lineRule="auto"/>
        <w:tabs>
          <w:tab w:leader="none" w:pos="130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this Agreement provides that any Guaranteed Obligations hereunder are joint and several, such joint and several obligations shall be absolute and unconditional and shall remain in full force and effect until the entire principal, interest, penalties, premiums and late charges, if any, on this Agreement and all additional payments, if any, due pursuant to any other Loan Document shall have been paid and, until such payment has been made, shall not be discharged, affected, modified or impaired upon the happening from time to time of any event, including, without limitation, any of the following (subject to the provisions of applicable Law), whether or not with notice to or the consent of any of the Borrowers:</w:t>
      </w:r>
    </w:p>
    <w:p>
      <w:pPr>
        <w:spacing w:after="0" w:line="18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4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waiver, compromise, settlement, release, termination or amendment (including, without limitation, any extension or postponement of the time for payment or performance or renewal or refinancing) of any or all of the Guaranteed Obligations or agreements of any of the Borrowers hereunder or any other Loan Document;</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give notice to any or all of the Borrowers of the occurrence of a default under the terms and provisions of this Agreement or any other Loan Document;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5" w:name="page86"/>
    <w:bookmarkEnd w:id="85"/>
    <w:p>
      <w:pPr>
        <w:jc w:val="both"/>
        <w:ind w:left="940" w:right="299" w:firstLine="648"/>
        <w:spacing w:after="0" w:line="244" w:lineRule="auto"/>
        <w:tabs>
          <w:tab w:leader="none" w:pos="194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person primarily or secondarily liable for all or any part of the Guaranteed Obligations, whether by Administrative Agent or any other holder of this Agreement or in connection with any voluntary or involuntary liquidation, dissolution, receivership, insolvency, bankruptcy, assignment for the benefit of creditors or similar event or proceeding affecting any or all of the Borrowers or any other person or entity who, or any of whose property, shall at the time in question be obligated in respect of the Guaranteed Obligations or any part thereof; or</w:t>
      </w:r>
    </w:p>
    <w:p>
      <w:pPr>
        <w:spacing w:after="0" w:line="185"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4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any other event, occurrence, action or circumstance that would, in the absence of this clause, result in the release or discharge of any or all of the Borrowers from the performance or observance of any obligation, covenant or agreement contained in this Agreement.</w:t>
      </w:r>
    </w:p>
    <w:p>
      <w:pPr>
        <w:spacing w:after="0" w:line="179" w:lineRule="exact"/>
        <w:rPr>
          <w:rFonts w:ascii="Times New Roman" w:cs="Times New Roman" w:eastAsia="Times New Roman" w:hAnsi="Times New Roman"/>
          <w:sz w:val="20"/>
          <w:szCs w:val="20"/>
          <w:color w:val="auto"/>
        </w:rPr>
      </w:pPr>
    </w:p>
    <w:p>
      <w:pPr>
        <w:ind w:left="300" w:right="299" w:firstLine="640"/>
        <w:spacing w:after="0" w:line="245" w:lineRule="auto"/>
        <w:tabs>
          <w:tab w:leader="none" w:pos="13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hereunder or in any other Loan Document, it is agreed and understood that (1) each Domestic Obligor shall be jointly and severally liable for all Guaranteed Obligations and (2) each Foreign Obligor shall only be jointly and severally liable for all Foreign Obligations, including without limitation all Loans, L/C Obligations and other Guaranteed Obligations made to, for the benefit of, or accrued with respect to any Foreign Obligor or Subsidiary thereof.</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2.20 Designated Lenders</w:t>
      </w:r>
      <w:r>
        <w:rPr>
          <w:rFonts w:ascii="Times New Roman" w:cs="Times New Roman" w:eastAsia="Times New Roman" w:hAnsi="Times New Roman"/>
          <w:sz w:val="20"/>
          <w:szCs w:val="20"/>
          <w:color w:val="auto"/>
        </w:rPr>
        <w:t>. Each of the Administrative Agent, the L/C Issuer, the Swing 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each Lender at its option may make any Credit Extension or otherwise perform its obligations hereunder through any Lending Office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such Borrower to repay any Credit Extension in accordance with the terms of this Agreement. Any Designated Lender shall be considered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 Affiliate or branch of a Lender, such provisions that would be applicable with respect to Credit Extensions actually provided by such Affiliate or branch of such Lender shall apply to such Affiliate or branch of such Lender to the same extent as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only of voting in connection with any Loan Document, any participation by any Designated Lender in any outstanding Credit Extension shall be deemed a participation of such Lender.</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2.21</w:t>
      </w:r>
      <w:r>
        <w:rPr>
          <w:sz w:val="20"/>
          <w:szCs w:val="20"/>
          <w:color w:val="auto"/>
        </w:rPr>
        <w:tab/>
      </w:r>
      <w:r>
        <w:rPr>
          <w:rFonts w:ascii="Times New Roman" w:cs="Times New Roman" w:eastAsia="Times New Roman" w:hAnsi="Times New Roman"/>
          <w:sz w:val="19"/>
          <w:szCs w:val="19"/>
          <w:b w:val="1"/>
          <w:bCs w:val="1"/>
          <w:color w:val="auto"/>
        </w:rPr>
        <w:t>Extension of Maturity Date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2" w:lineRule="auto"/>
        <w:tabs>
          <w:tab w:leader="none" w:pos="130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written notice to the Administrative Agent from time to time, request an extension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of the maturity date of any tranche of Commitments or Incremental Term Loans to the extended maturity date specified in such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more than two (2) such requests, in the aggregate for all tranches hereunder, shall be made during the term of this Agreement. Such notice shall (i) set forth the amount of the applicable tranche of Commitments or Incremental Term Loans that will be subject to the Extension (which shall be in minimum increments of $5,000,000 and a minimum amount of $50,000,000 (or, in each case, such other amounts as the Administrative Agent may approve in its sole discretion), (ii) set forth the date on which such Extension is requested to become effective (which shall be not less than ten (10) Business Days nor more than sixty</w:t>
      </w:r>
    </w:p>
    <w:p>
      <w:pPr>
        <w:jc w:val="both"/>
        <w:ind w:left="300" w:right="299" w:hanging="8"/>
        <w:spacing w:after="0"/>
        <w:tabs>
          <w:tab w:leader="none" w:pos="68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Extension notice (or such longer or shorter periods as the Administrative Agent shall agree in its sole discretion)) and (iii) identify the relevant tranche of Commitments or Incremental Term Loans to which such Extension relates. Each Lender of the applicable tranche shall be offered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an opportunity to participate in such Extension on a pro rata basis and on the same terms and conditions as each other Lender of such Class pursuant to procedures established by, or reasonably acceptable to, the Administrative Agent and the Company. If the aggregate principal amount of Commitments or Incremental Term Loans, as applicable, in respect of which Lenders shall have accepted the relevant Extension Offer shall exceed the maximum aggregate principal amount of Commitments or Incremental Term Loans, as applicable, subject to the Extension Offer as set forth in the Extension notice, then the Commitments or Incremental Term Loans, as applicable, of Lenders of the applicable tranche shall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6" w:name="page87"/>
    <w:bookmarkEnd w:id="86"/>
    <w:p>
      <w:pPr>
        <w:ind w:left="300" w:right="319"/>
        <w:spacing w:after="0" w:line="269" w:lineRule="auto"/>
        <w:rPr>
          <w:sz w:val="20"/>
          <w:szCs w:val="20"/>
          <w:color w:val="auto"/>
        </w:rPr>
      </w:pPr>
      <w:r>
        <w:rPr>
          <w:rFonts w:ascii="Times New Roman" w:cs="Times New Roman" w:eastAsia="Times New Roman" w:hAnsi="Times New Roman"/>
          <w:sz w:val="20"/>
          <w:szCs w:val="20"/>
          <w:color w:val="auto"/>
        </w:rPr>
        <w:t>be extended ratably up to such maximum amount based on the respective principal amounts with respect to which such Lenders have accepted such Extension Offer.</w:t>
      </w:r>
    </w:p>
    <w:p>
      <w:pPr>
        <w:spacing w:after="0" w:line="159" w:lineRule="exact"/>
        <w:rPr>
          <w:sz w:val="20"/>
          <w:szCs w:val="20"/>
          <w:color w:val="auto"/>
        </w:rPr>
      </w:pPr>
    </w:p>
    <w:p>
      <w:pPr>
        <w:jc w:val="both"/>
        <w:ind w:left="300" w:right="299" w:firstLine="640"/>
        <w:spacing w:after="0" w:line="241" w:lineRule="auto"/>
        <w:tabs>
          <w:tab w:leader="none" w:pos="130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conditions precedent to the effectiveness of any Extension: (i) the total of the Commitments and/or Loans, as applicable, of the Lenders (including any Additional Commitment Lenders) in respect of the particular Facility that have agreed so to extend their maturity date shall be more than 50% of the aggregate amount of the Commitments and/or Loans, as applicable, in respect of the particular Facility in effect immediately prior to the effectiveness of such Extension, (ii) no Default or Event of Default shall have occurred and be continuing immediately prior to and immediately after giving effect to such Extension, (iii) the representations and warranties of the Borrowers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each Loan Party contained in each other Loan Document shall be true and correct in all material respects (or, to the extent any such representation and warranty is subject to a materiality or Material Adverse Effect qualification, in all respects) on and as of the effective date of such Extension, except to the extent that such representations and warranties specifically refer to an earlier date, in which case they shall be true and correct in all material respects (or, to the extent any such representation and warranty is subject to a materiality or Material Adverse Effect qualification, in all respects) as of such earlier date, and except that for purposes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(iv) the L/C Issuers and the Swing Line Lenders shall have consented to any Extension of the Commitments, to the extent that such Extension provides for the issuance or extension of Letters of Credit or making of Swing Line Loans at any time during the extended period and (v) the terms of such Extended Revolving Commitments and Extended Term Loans shall comply with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300" w:right="299" w:firstLine="640"/>
        <w:spacing w:after="0"/>
        <w:tabs>
          <w:tab w:leader="none" w:pos="130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each Extension shall be determined by the Administrative Agent, the Company and the applicable extending Lenders and set forth in an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Extended Revolving Commitment or Extended Term Loan shall be (A) no earlier than the stated maturity date of the tranche of Commitments or term loans under this Agreement being extended thereby and (B) no later than one (1) year following the stated maturity date of the tranche of Commitments or term loans under this Agreement being extended thereby, (ii) (A) there shall be no scheduled amortization of the loans or reductions of commitments under any Extended Revolving Commitments and (B) the Weighted Average Life to Maturity of the Extended Term Loans shall be no shorter than the remaining Weighted Average Life to Maturity of the existing tranche of term loans under this Agreement being extended thereby, (iii) the Extended Revolving Loans and the Extended Term Loans will rank pari passu in right of payment and with respect to security with the existing tranche of Committed Loans or Term Loans, as applicable, being extended thereby and the borrower and guarantors of the Extended Revolving Commitments or Extended Term Loans, as applicable, shall be the same as the Borrowers and Guarantors with respect to the existing tranche of Committed Loans or Term Loans, as applicable, being extended thereby, (iv) the interest rate margins, rate floors, fees, original issue discount and premium applicable to any Extended Revolving Commitment (and the Extended Revolving Loans thereunder) and Extended Term Loans shall be determined by the Company and the applicable extending Lenders, (v)(A) the Extended Term Loans may participate on a pro rata or less than pro rata (but not greater than pro rata) basis in voluntary or mandatory prepayments with the other term loans under this Agreement and (B) borrowing and prepayment of Extended Revolving Loans, or reductions of Extended Revolving Commitments, and participation in Letters of Credit and Swing Line Loans, shall be on a pro rata basis with the other Committed Loans or Commitments of the tranche being extended thereby (other than upon the maturity of the non-extended Committed Loans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Commitments of the tranche being extended thereby) and (vi) the terms of the Extended Revolving Commitments or Extended Term Loans, as applicable, shall be substantially identical to the terms set forth herein (except as set forth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7" w:name="page88"/>
    <w:bookmarkEnd w:id="87"/>
    <w:p>
      <w:pPr>
        <w:jc w:val="both"/>
        <w:ind w:left="300" w:right="299" w:firstLine="640"/>
        <w:spacing w:after="0" w:line="241" w:lineRule="auto"/>
        <w:tabs>
          <w:tab w:leader="none" w:pos="130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affected Lender as to the effectiveness of each Extension. Any Extension Amendment may, without the consent of any other Lender, effect such amendments to this Agreement and the other Loan Documents as may be necessary or appropriate, in the reasonable opinion of the Administrative Agent, to implement the terms of any such Extension, including any amendments necessary to establish Extended Revolving Commitments or Extended Term Loans as a new tranche of Commitments or term loans hereunder, as applicable, and such other technical amendments as may be necessary or appropriate in the reasonable opinion of the Administrative Agent and the Company in connection with the establishment of such new tranche (including to preserve the pro rata treatment of the extended and non-extended tranches and to provide for the reallocation of Revolving Credit Exposure upon the expiration or termination of the commitments under any tranche), in each case on terms consistent with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replace each Lender that determines not to so extend its Maturity Date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with, and add as “Lenders” under this Agreement in place thereof, one or more Eligible Assignees (each, an “</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as provided in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of such Additional Commitment Lenders shall enter into an Assignment and Assumption pursuant to which such Additional Commitment Lender shall undertake a Commitment (and, if any such Additional Commitment Lender is already a Committed Lender, its Commitment shall be in addition to any other Commitment of such Lender hereunder on such date).</w:t>
      </w:r>
    </w:p>
    <w:p>
      <w:pPr>
        <w:spacing w:after="0" w:line="185"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19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2" w:lineRule="auto"/>
        <w:tabs>
          <w:tab w:leader="none" w:pos="130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(i)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0"/>
          <w:szCs w:val="20"/>
          <w:u w:val="single" w:color="auto"/>
          <w:color w:val="auto"/>
        </w:rPr>
        <w:t>subsection</w:t>
      </w:r>
    </w:p>
    <w:p>
      <w:pPr>
        <w:spacing w:after="0" w:line="5" w:lineRule="exact"/>
        <w:rPr>
          <w:rFonts w:ascii="Times New Roman" w:cs="Times New Roman" w:eastAsia="Times New Roman" w:hAnsi="Times New Roman"/>
          <w:sz w:val="20"/>
          <w:szCs w:val="20"/>
          <w:color w:val="auto"/>
        </w:rPr>
      </w:pPr>
    </w:p>
    <w:p>
      <w:pPr>
        <w:ind w:left="560" w:hanging="268"/>
        <w:spacing w:after="0"/>
        <w:tabs>
          <w:tab w:leader="none" w:pos="560" w:val="left"/>
        </w:tabs>
        <w:numPr>
          <w:ilvl w:val="0"/>
          <w:numId w:val="1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below.</w:t>
      </w:r>
    </w:p>
    <w:p>
      <w:pPr>
        <w:spacing w:after="0" w:line="193" w:lineRule="exact"/>
        <w:rPr>
          <w:rFonts w:ascii="Times New Roman" w:cs="Times New Roman" w:eastAsia="Times New Roman" w:hAnsi="Times New Roman"/>
          <w:sz w:val="20"/>
          <w:szCs w:val="20"/>
          <w:u w:val="single" w:color="auto"/>
          <w:color w:val="auto"/>
        </w:rPr>
      </w:pPr>
    </w:p>
    <w:p>
      <w:pPr>
        <w:jc w:val="both"/>
        <w:ind w:left="940" w:right="299" w:firstLine="648"/>
        <w:spacing w:after="0" w:line="241" w:lineRule="auto"/>
        <w:tabs>
          <w:tab w:leader="none" w:pos="1948"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the Code to withhold or deduct any Taxes, including both United States Federal backup withholding and withholding taxes, from any payment, then (A) the Administrative Agent or the Loan Party, as required by such Laws,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the Administrative Agent or the Loan Party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8" w:name="page89"/>
    <w:bookmarkEnd w:id="88"/>
    <w:p>
      <w:pPr>
        <w:jc w:val="both"/>
        <w:ind w:left="940" w:right="299" w:firstLine="648"/>
        <w:spacing w:after="0" w:line="242" w:lineRule="auto"/>
        <w:tabs>
          <w:tab w:leader="none" w:pos="1948"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7"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subsection</w:t>
      </w:r>
    </w:p>
    <w:p>
      <w:pPr>
        <w:spacing w:after="0" w:line="21" w:lineRule="exact"/>
        <w:rPr>
          <w:rFonts w:ascii="Times New Roman" w:cs="Times New Roman" w:eastAsia="Times New Roman" w:hAnsi="Times New Roman"/>
          <w:sz w:val="20"/>
          <w:szCs w:val="20"/>
          <w:color w:val="auto"/>
        </w:rPr>
      </w:pPr>
    </w:p>
    <w:p>
      <w:pPr>
        <w:jc w:val="both"/>
        <w:ind w:left="300" w:right="299" w:hanging="8"/>
        <w:spacing w:after="0" w:line="242" w:lineRule="auto"/>
        <w:tabs>
          <w:tab w:leader="none" w:pos="586" w:val="left"/>
        </w:tabs>
        <w:numPr>
          <w:ilvl w:val="0"/>
          <w:numId w:val="1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the Loan Parties shall timely pay to the relevant Governmental Authority in accordance with applicable Law, or at the option of the Administrative Agent timely reimburse it for the payment of, any Other Taxes.</w:t>
      </w:r>
    </w:p>
    <w:p>
      <w:pPr>
        <w:spacing w:after="0" w:line="186" w:lineRule="exact"/>
        <w:rPr>
          <w:rFonts w:ascii="Times New Roman" w:cs="Times New Roman" w:eastAsia="Times New Roman" w:hAnsi="Times New Roman"/>
          <w:sz w:val="20"/>
          <w:szCs w:val="20"/>
          <w:u w:val="single" w:color="auto"/>
          <w:color w:val="auto"/>
        </w:rPr>
      </w:pPr>
    </w:p>
    <w:p>
      <w:pPr>
        <w:jc w:val="both"/>
        <w:ind w:left="300" w:right="299" w:firstLine="640"/>
        <w:spacing w:after="0" w:line="241" w:lineRule="auto"/>
        <w:tabs>
          <w:tab w:leader="none" w:pos="1335"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(i) Each of the Loan Parties shall, and does hereby, jointly and severally indemnify each Recipient, and shall make payment in respect thereof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such indemnification payment by the Loan Parties, such Lender or the L/C Issuer shall indemnify the Loan Parties in such case for the amount of such indemnification payments made by the Loan Parties to the Administrative Agent.</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48"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relating to the maintenance of a Participant Register and (z) the Administrative Agent and the Loan Party,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the L/C Issuer by the Administrative Agent shall be conclusive absent manifest error. Each Lender and the L/C Issuer hereby authorizes the Administrative Agent to set off and apply any and all amounts at any time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9" w:name="page90"/>
    <w:bookmarkEnd w:id="89"/>
    <w:p>
      <w:pPr>
        <w:ind w:left="940" w:right="319"/>
        <w:spacing w:after="0" w:line="269" w:lineRule="auto"/>
        <w:rPr>
          <w:sz w:val="20"/>
          <w:szCs w:val="20"/>
          <w:color w:val="auto"/>
        </w:rPr>
      </w:pPr>
      <w:r>
        <w:rPr>
          <w:rFonts w:ascii="Times New Roman" w:cs="Times New Roman" w:eastAsia="Times New Roman" w:hAnsi="Times New Roman"/>
          <w:sz w:val="20"/>
          <w:szCs w:val="20"/>
          <w:color w:val="auto"/>
        </w:rPr>
        <w:t xml:space="preserve">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0"/>
        <w:spacing w:after="0" w:line="246" w:lineRule="auto"/>
        <w:tabs>
          <w:tab w:leader="none" w:pos="130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2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 xml:space="preserve">. (i)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Person,</w:t>
      </w:r>
    </w:p>
    <w:p>
      <w:pPr>
        <w:spacing w:after="0" w:line="193" w:lineRule="exact"/>
        <w:rPr>
          <w:rFonts w:ascii="Times New Roman" w:cs="Times New Roman" w:eastAsia="Times New Roman" w:hAnsi="Times New Roman"/>
          <w:sz w:val="20"/>
          <w:szCs w:val="20"/>
          <w:color w:val="auto"/>
        </w:rPr>
      </w:pPr>
    </w:p>
    <w:p>
      <w:pPr>
        <w:jc w:val="both"/>
        <w:ind w:left="1580" w:right="299" w:firstLine="656"/>
        <w:spacing w:after="0" w:line="238" w:lineRule="exact"/>
        <w:tabs>
          <w:tab w:leader="none" w:pos="2588"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9 certifying that such Lender is exempt from U.S. federal backup withholding tax;</w:t>
      </w:r>
    </w:p>
    <w:p>
      <w:pPr>
        <w:spacing w:after="0" w:line="188"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588"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2240" w:right="319" w:firstLine="644"/>
        <w:spacing w:after="0" w:line="256" w:lineRule="auto"/>
        <w:tabs>
          <w:tab w:leader="none" w:pos="3248" w:val="left"/>
        </w:tabs>
        <w:numPr>
          <w:ilvl w:val="3"/>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w:t>
      </w:r>
    </w:p>
    <w:p>
      <w:pPr>
        <w:spacing w:after="0" w:line="4" w:lineRule="exact"/>
        <w:rPr>
          <w:rFonts w:ascii="Times New Roman" w:cs="Times New Roman" w:eastAsia="Times New Roman" w:hAnsi="Times New Roman"/>
          <w:sz w:val="19"/>
          <w:szCs w:val="19"/>
          <w:color w:val="auto"/>
        </w:rPr>
      </w:pPr>
    </w:p>
    <w:p>
      <w:pPr>
        <w:jc w:val="both"/>
        <w:ind w:left="2240" w:right="299"/>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with respect to any other applicable payments under any Loan Document, IRS Form W-8BEN-E (or W-8BEN, as applicable) establishing an exemption from, 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0" w:name="page91"/>
    <w:bookmarkEnd w:id="90"/>
    <w:p>
      <w:pPr>
        <w:ind w:left="2240" w:right="299"/>
        <w:spacing w:after="0" w:line="269" w:lineRule="auto"/>
        <w:rPr>
          <w:sz w:val="20"/>
          <w:szCs w:val="20"/>
          <w:color w:val="auto"/>
        </w:rPr>
      </w:pPr>
      <w:r>
        <w:rPr>
          <w:rFonts w:ascii="Times New Roman" w:cs="Times New Roman" w:eastAsia="Times New Roman" w:hAnsi="Times New Roman"/>
          <w:sz w:val="20"/>
          <w:szCs w:val="20"/>
          <w:color w:val="auto"/>
        </w:rPr>
        <w:t>reduction of, U.S. federal withholding Tax pursuant to the “business profits” or “other income” article of such tax treaty;</w:t>
      </w: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(II) executed copies of IRS Form W-8ECI;</w:t>
      </w:r>
    </w:p>
    <w:p>
      <w:pPr>
        <w:spacing w:after="0" w:line="216" w:lineRule="exact"/>
        <w:rPr>
          <w:sz w:val="20"/>
          <w:szCs w:val="20"/>
          <w:color w:val="auto"/>
        </w:rPr>
      </w:pPr>
    </w:p>
    <w:p>
      <w:pPr>
        <w:jc w:val="both"/>
        <w:ind w:left="2240" w:right="299" w:firstLine="644"/>
        <w:spacing w:after="0" w:line="256" w:lineRule="auto"/>
        <w:tabs>
          <w:tab w:leader="none" w:pos="3248"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Company within the meaning of Section 871(h)(3)(B) of the Code, or a “controlled foreign corporation” described in Section 881(c)(3)</w:t>
      </w:r>
    </w:p>
    <w:p>
      <w:pPr>
        <w:ind w:left="2240" w:right="299" w:hanging="4"/>
        <w:spacing w:after="0" w:line="246" w:lineRule="auto"/>
        <w:tabs>
          <w:tab w:leader="none" w:pos="255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W-8BEN-E (or W-8BEN, as applicable); or</w:t>
      </w:r>
    </w:p>
    <w:p>
      <w:pPr>
        <w:spacing w:after="0" w:line="182" w:lineRule="exact"/>
        <w:rPr>
          <w:sz w:val="20"/>
          <w:szCs w:val="20"/>
          <w:color w:val="auto"/>
        </w:rPr>
      </w:pPr>
    </w:p>
    <w:p>
      <w:pPr>
        <w:jc w:val="both"/>
        <w:ind w:left="224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(IV) to the extent a Foreign Lender is not the beneficial owner, executed copies of IRS Form W-8IMY, accompanied by IRS Form W-8ECI, IRS Form W-8BEN-E (or W-8BEN, as applicable),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92" w:lineRule="exact"/>
        <w:rPr>
          <w:sz w:val="20"/>
          <w:szCs w:val="20"/>
          <w:color w:val="auto"/>
        </w:rPr>
      </w:pPr>
    </w:p>
    <w:p>
      <w:pPr>
        <w:jc w:val="both"/>
        <w:ind w:left="1580" w:right="299" w:firstLine="656"/>
        <w:spacing w:after="0" w:line="257" w:lineRule="auto"/>
        <w:tabs>
          <w:tab w:leader="none" w:pos="2588"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5" w:lineRule="exact"/>
        <w:rPr>
          <w:rFonts w:ascii="Times New Roman" w:cs="Times New Roman" w:eastAsia="Times New Roman" w:hAnsi="Times New Roman"/>
          <w:sz w:val="19"/>
          <w:szCs w:val="19"/>
          <w:color w:val="auto"/>
        </w:rPr>
      </w:pPr>
    </w:p>
    <w:p>
      <w:pPr>
        <w:jc w:val="both"/>
        <w:ind w:left="1580" w:right="299" w:firstLine="656"/>
        <w:spacing w:after="0" w:line="241" w:lineRule="auto"/>
        <w:tabs>
          <w:tab w:leader="none" w:pos="258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appropriate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1" w:name="page92"/>
    <w:bookmarkEnd w:id="91"/>
    <w:p>
      <w:pPr>
        <w:ind w:left="940" w:right="299"/>
        <w:spacing w:after="0" w:line="269" w:lineRule="auto"/>
        <w:rPr>
          <w:sz w:val="20"/>
          <w:szCs w:val="20"/>
          <w:color w:val="auto"/>
        </w:rPr>
      </w:pPr>
      <w:r>
        <w:rPr>
          <w:rFonts w:ascii="Times New Roman" w:cs="Times New Roman" w:eastAsia="Times New Roman" w:hAnsi="Times New Roman"/>
          <w:sz w:val="20"/>
          <w:szCs w:val="20"/>
          <w:color w:val="auto"/>
        </w:rPr>
        <w:t>update such form or certification or promptly notify the Company and the Administrative Agent in writing of its legal inability to do so.</w:t>
      </w:r>
    </w:p>
    <w:p>
      <w:pPr>
        <w:spacing w:after="0" w:line="159" w:lineRule="exact"/>
        <w:rPr>
          <w:sz w:val="20"/>
          <w:szCs w:val="20"/>
          <w:color w:val="auto"/>
        </w:rPr>
      </w:pPr>
    </w:p>
    <w:p>
      <w:pPr>
        <w:jc w:val="both"/>
        <w:ind w:left="300" w:right="299" w:firstLine="640"/>
        <w:spacing w:after="0"/>
        <w:tabs>
          <w:tab w:leader="none" w:pos="133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(including any Tax credit in lieu of a refund)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a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Loan Party, upon the written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205"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2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79" w:lineRule="exact"/>
        <w:rPr>
          <w:rFonts w:ascii="Times New Roman" w:cs="Times New Roman" w:eastAsia="Times New Roman" w:hAnsi="Times New Roman"/>
          <w:sz w:val="20"/>
          <w:szCs w:val="20"/>
          <w:color w:val="auto"/>
        </w:rPr>
      </w:pPr>
    </w:p>
    <w:p>
      <w:pPr>
        <w:ind w:left="1320" w:hanging="380"/>
        <w:spacing w:after="0"/>
        <w:tabs>
          <w:tab w:leader="none" w:pos="13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“applicable Laws” includes</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FATCA.</w:t>
      </w:r>
    </w:p>
    <w:p>
      <w:pPr>
        <w:spacing w:after="0" w:line="19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b w:val="1"/>
          <w:bCs w:val="1"/>
          <w:color w:val="auto"/>
        </w:rPr>
        <w:t>Illegality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1" w:lineRule="auto"/>
        <w:tabs>
          <w:tab w:leader="none" w:pos="130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upon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 Base Rate Loans to Daily Simple SOFR Loans or Term SOFR Loans, as applicable,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2" w:name="page93"/>
    <w:bookmarkEnd w:id="92"/>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as applicable,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and Alternative Currency Term Rate Loans, on the last day of the Interest Period therefor if such Lender may lawfully continue to maintain such Term SOFR Loans or Alternative Currency Term Rate Loans, as applicable, to such day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300" w:right="299" w:firstLine="640"/>
        <w:spacing w:after="0"/>
        <w:tabs>
          <w:tab w:leader="none" w:pos="130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any applicable jurisdiction, the Administrative Agent, the L/C Issuer or any Lender or any Designated Lender determines that any Change in Law has made it unlawful, or that any Governmental Authority has asserted after the Closing Date that it is unlawful, for the Administrative Agent, the L/C Issuer or any Lender or its applicable Designated Lender to (i) perform any of its obligations hereunder or under any other Loan Document, (ii) to fund or maintain its participation in any Loan or Letter of Credit or (iii) issue, make, maintain, fund or charge interest or fees with respect to any Credit Extension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the L/C Issuer, Cash Collateralize that portion of applicable L/C Obligations comprised of the aggregate undrawn amount of Letters of Credit to the extent not otherwise Cash Collateralized and (C) take all reasonable actions requested by such Person to mitigate or avoid such illegality. Each Lender agrees to designate a different lending office if such designation will avoid the need for such notice and will not, in the determination of such Lender, otherwise be materially disadvantageous to such Lender.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3" w:name="page94"/>
    <w:bookmarkEnd w:id="93"/>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Times New Roman" w:cs="Times New Roman" w:eastAsia="Times New Roman" w:hAnsi="Times New Roman"/>
          <w:sz w:val="19"/>
          <w:szCs w:val="19"/>
          <w:b w:val="1"/>
          <w:bCs w:val="1"/>
          <w:color w:val="auto"/>
        </w:rPr>
        <w:t>Inability to Determine Rates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1" w:lineRule="auto"/>
        <w:tabs>
          <w:tab w:leader="none" w:pos="130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If in connection with any request for a Daily Simple SOFR Loan or Term SOFR Loan or an Alternative Currency Loan or a conversion of Base Rate Loans to Daily Simple SOFR Loans or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 xml:space="preserve"> or the SOFR Scheduled Unavailability Date, the Term SOFR Scheduled Unavailability Date or the Non-SOFR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Daily Simple SOFR Loan, Term SOFR Loan or an Alternative Currency Loan or in connection with an existing or proposed Base Rate Loan, or (ii) the Administrative Agent or the Required Lenders, as applicable,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9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Loans or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the first paragraph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w:t>
      </w:r>
    </w:p>
    <w:p>
      <w:pPr>
        <w:spacing w:after="0" w:line="192"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Upon receipt of such notice, (i) the Borrowers may revoke any pending request for a Borrowing of, or conversion to, or continuation of Daily Simple SOFR Loans or Term SOFR Loans, as applicable (to the extent of the affected Daily Simple SOFR Loans, Term SOFR Loans or Interest Periods), or Borrowing of, or continuation of Alternative Currency Loans to the extent of the affected Alternative Currency Loans or Interest Period or determination date(s), as applicable or, failing that, will be deemed to have converted such request into a request for a Committed Borrowing of Base Rate Loans denominated in Dollars in the Dollar Equivalent of the amount specified therein and (ii) (A) any outstanding Daily Simple SOFR Loans or Term SOFR Loans, as applicable, shall be deemed to have been converted to Base Rate Loans immediately, in the case of Daily Simple SOFR Loans, and at the end of their respective applicable Interest Period in the case of Term SOFR Loans and (B) any outstanding affected Alternative Currency Loans, at the Company’s election, shall either (1) be converted into a Committed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provided 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4" w:name="page95"/>
    <w:bookmarkEnd w:id="94"/>
    <w:p>
      <w:pPr>
        <w:jc w:val="both"/>
        <w:ind w:left="300" w:right="319" w:firstLine="640"/>
        <w:spacing w:after="0" w:line="246" w:lineRule="auto"/>
        <w:tabs>
          <w:tab w:leader="none" w:pos="130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Term SOFR</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ind w:left="940" w:right="299" w:firstLine="648"/>
        <w:spacing w:after="0" w:line="242" w:lineRule="auto"/>
        <w:tabs>
          <w:tab w:leader="none" w:pos="194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u w:val="single" w:color="auto"/>
          <w:color w:val="auto"/>
        </w:rPr>
        <w:t>Term SOFR Scheduled Unavailability Date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Replacement Date</w:t>
      </w:r>
      <w:r>
        <w:rPr>
          <w:rFonts w:ascii="Times New Roman" w:cs="Times New Roman" w:eastAsia="Times New Roman" w:hAnsi="Times New Roman"/>
          <w:sz w:val="20"/>
          <w:szCs w:val="20"/>
          <w:color w:val="auto"/>
        </w:rPr>
        <w:t xml:space="preserve">”), which date shall be at the end of an Interest Period or on the relevant interest payment date, as applicable, for interest calculated and, solely with respect to clause (ii) above, no later than the Term SOFR Scheduled Unavailability Date, if neither of the events or circumstances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Daily Simple SOFR, Term SOFR will no longer be available hereunder and all Term SOFR Loans outstanding on the Term SOFR Replacement Date shall automatically be converted to Daily Simple SOFR Loans without any amendment to, or further action or consent of any other party to this Agreement or any other Loan Document.</w:t>
      </w:r>
    </w:p>
    <w:p>
      <w:pPr>
        <w:spacing w:after="0" w:line="189" w:lineRule="exact"/>
        <w:rPr>
          <w:sz w:val="20"/>
          <w:szCs w:val="20"/>
          <w:color w:val="auto"/>
        </w:rPr>
      </w:pPr>
    </w:p>
    <w:p>
      <w:pPr>
        <w:jc w:val="both"/>
        <w:ind w:left="300" w:right="299" w:firstLine="640"/>
        <w:spacing w:after="0" w:line="246" w:lineRule="auto"/>
        <w:tabs>
          <w:tab w:leader="none" w:pos="132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SOFR because SOFR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CME or any successor administrator of SOFR or a Governmental Authority having jurisdiction over the Administrative Agent or such administrator with respect to its publication of SOFR, in each case acting in such capacity, has made a public statement identifying a specific date after which SOFR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SOFR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5" w:name="page96"/>
    <w:bookmarkEnd w:id="95"/>
    <w:p>
      <w:pPr>
        <w:ind w:left="940" w:right="319"/>
        <w:spacing w:after="0" w:line="269" w:lineRule="auto"/>
        <w:rPr>
          <w:sz w:val="20"/>
          <w:szCs w:val="20"/>
          <w:color w:val="auto"/>
        </w:rPr>
      </w:pPr>
      <w:r>
        <w:rPr>
          <w:rFonts w:ascii="Times New Roman" w:cs="Times New Roman" w:eastAsia="Times New Roman" w:hAnsi="Times New Roman"/>
          <w:sz w:val="20"/>
          <w:szCs w:val="20"/>
          <w:color w:val="auto"/>
        </w:rPr>
        <w:t>on a representative basis (the date on which SOFR is no longer representative or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SOFR Successor Rate then in effect, then, in each case, the Administrative Agent and the Company may amend this Agreement solely for the purpose of replacing Daily Simple SOFR, Term SOFR or any then current SOFR Successor Rate, as applicable, in accordance with this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(any such proposed rate (including for the avoidance of doubt, any adjustment thereto, a “</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jc w:val="both"/>
        <w:ind w:left="300" w:right="299" w:firstLine="640"/>
        <w:spacing w:after="0" w:line="246" w:lineRule="auto"/>
        <w:tabs>
          <w:tab w:leader="none" w:pos="132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Non-SOFR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Required Lenders, as applicable,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48"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0"/>
          <w:szCs w:val="20"/>
          <w:u w:val="single" w:color="auto"/>
          <w:color w:val="auto"/>
        </w:rPr>
        <w:t>Non-SOFR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3.03(d)(i) or (ii)</w:t>
      </w:r>
      <w:r>
        <w:rPr>
          <w:rFonts w:ascii="Times New Roman" w:cs="Times New Roman" w:eastAsia="Times New Roman" w:hAnsi="Times New Roman"/>
          <w:sz w:val="20"/>
          <w:szCs w:val="20"/>
          <w:color w:val="auto"/>
        </w:rPr>
        <w:t xml:space="preserve"> have occurred with respect to the Non-SOFR Successor Rate then in effect, then, the Administrative Agent and the Company may amend this Agreement solely for the purpose of replacing the Relevant Rate for an Agreed Currency (other than Dollars) or any then current Non-SOFR Successor Rate for an Agreed Currency (other than Dollars) in accordance with this </w:t>
      </w:r>
      <w:r>
        <w:rPr>
          <w:rFonts w:ascii="Times New Roman" w:cs="Times New Roman" w:eastAsia="Times New Roman" w:hAnsi="Times New Roman"/>
          <w:sz w:val="20"/>
          <w:szCs w:val="20"/>
          <w:u w:val="single" w:color="auto"/>
          <w:color w:val="auto"/>
        </w:rPr>
        <w:t>Section 3.03(d)</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6" w:name="page97"/>
    <w:bookmarkEnd w:id="96"/>
    <w:p>
      <w:pPr>
        <w:jc w:val="both"/>
        <w:ind w:left="300" w:right="299"/>
        <w:spacing w:after="0" w:line="260" w:lineRule="auto"/>
        <w:rPr>
          <w:sz w:val="20"/>
          <w:szCs w:val="20"/>
          <w:color w:val="auto"/>
        </w:rPr>
      </w:pPr>
      <w:r>
        <w:rPr>
          <w:rFonts w:ascii="Times New Roman" w:cs="Times New Roman" w:eastAsia="Times New Roman" w:hAnsi="Times New Roman"/>
          <w:sz w:val="19"/>
          <w:szCs w:val="19"/>
          <w:color w:val="auto"/>
        </w:rPr>
        <w:t>Agreed Currency for such benchmarks (and any such proposed rate, including for the avoidance of doubt, any adjustment thereto, a “</w:t>
      </w:r>
      <w:r>
        <w:rPr>
          <w:rFonts w:ascii="Times New Roman" w:cs="Times New Roman" w:eastAsia="Times New Roman" w:hAnsi="Times New Roman"/>
          <w:sz w:val="19"/>
          <w:szCs w:val="19"/>
          <w:u w:val="single" w:color="auto"/>
          <w:color w:val="auto"/>
        </w:rPr>
        <w:t>Non-SOFR Successor Rate</w:t>
      </w:r>
      <w:r>
        <w:rPr>
          <w:rFonts w:ascii="Times New Roman" w:cs="Times New Roman" w:eastAsia="Times New Roman" w:hAnsi="Times New Roman"/>
          <w:sz w:val="19"/>
          <w:szCs w:val="19"/>
          <w:color w:val="auto"/>
        </w:rPr>
        <w:t>”, and collectively with the SOFR Successor Rate, each a “</w:t>
      </w:r>
      <w:r>
        <w:rPr>
          <w:rFonts w:ascii="Times New Roman" w:cs="Times New Roman" w:eastAsia="Times New Roman" w:hAnsi="Times New Roman"/>
          <w:sz w:val="19"/>
          <w:szCs w:val="19"/>
          <w:u w:val="single" w:color="auto"/>
          <w:color w:val="auto"/>
        </w:rPr>
        <w:t>Successor Rate</w:t>
      </w:r>
      <w:r>
        <w:rPr>
          <w:rFonts w:ascii="Times New Roman" w:cs="Times New Roman" w:eastAsia="Times New Roman" w:hAnsi="Times New Roman"/>
          <w:sz w:val="19"/>
          <w:szCs w:val="19"/>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73" w:lineRule="exact"/>
        <w:rPr>
          <w:sz w:val="20"/>
          <w:szCs w:val="20"/>
          <w:color w:val="auto"/>
        </w:rPr>
      </w:pPr>
    </w:p>
    <w:p>
      <w:pPr>
        <w:ind w:left="300" w:right="319" w:firstLine="640"/>
        <w:spacing w:after="0" w:line="269" w:lineRule="auto"/>
        <w:tabs>
          <w:tab w:leader="none" w:pos="130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Administrative Agent will promptly (in one or more notices) notify the Company and each Lender of the implementation of any Successor Rate.</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0.0%, the Successor Rate will be deemed to be 0.0%for the purposes of this Agreement and the other Loan Documents.</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6" w:lineRule="exact"/>
        <w:rPr>
          <w:sz w:val="20"/>
          <w:szCs w:val="20"/>
          <w:color w:val="auto"/>
        </w:rPr>
      </w:pPr>
    </w:p>
    <w:p>
      <w:pPr>
        <w:jc w:val="both"/>
        <w:ind w:left="300" w:right="299" w:firstLine="640"/>
        <w:spacing w:after="0" w:line="249" w:lineRule="auto"/>
        <w:tabs>
          <w:tab w:leader="none" w:pos="132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Required Lenders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or the relevant Alternative Currency shall be excluded from any determination of Required Lenders.</w:t>
      </w:r>
    </w:p>
    <w:p>
      <w:pPr>
        <w:spacing w:after="0" w:line="176"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3.04</w:t>
      </w:r>
      <w:r>
        <w:rPr>
          <w:sz w:val="20"/>
          <w:szCs w:val="20"/>
          <w:color w:val="auto"/>
        </w:rPr>
        <w:tab/>
      </w:r>
      <w:r>
        <w:rPr>
          <w:rFonts w:ascii="Times New Roman" w:cs="Times New Roman" w:eastAsia="Times New Roman" w:hAnsi="Times New Roman"/>
          <w:sz w:val="19"/>
          <w:szCs w:val="19"/>
          <w:b w:val="1"/>
          <w:bCs w:val="1"/>
          <w:color w:val="auto"/>
        </w:rPr>
        <w:t>Increased Costs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hanging="360"/>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applicable interbank market any other condition, cost or expense (other than Taxes) affecting this Agreement, Daily Simple SOFR Loans or Term SOFR Loans made by such Lender or Alternative Currency Loans made by such Lender or any Letter of Credit or participation therein;</w:t>
      </w:r>
    </w:p>
    <w:p>
      <w:pPr>
        <w:spacing w:after="0" w:line="180"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7" w:name="page98"/>
    <w:bookmarkEnd w:id="97"/>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Designated Borrower to pay) to such Lender or the L/C Issuer, as the case may be, such additional amount or amounts as will compensate such Lender or the L/C Issuer, as the case may be, for such additional costs incurred or reduction suffered as reasonably determined by such Lender or the L/C Issuer (which determination shall be made in good faith (and not on an arbitrary or capricious basis) and consistent with similarly situated customers of such Lender or the L/C Issuer under agreements having provisions similar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after consideration of such factors as such Lender or such L/C Issuer then reasonably determines to be relevant).</w:t>
      </w:r>
    </w:p>
    <w:p>
      <w:pPr>
        <w:spacing w:after="0" w:line="192" w:lineRule="exact"/>
        <w:rPr>
          <w:sz w:val="20"/>
          <w:szCs w:val="20"/>
          <w:color w:val="auto"/>
        </w:rPr>
      </w:pPr>
    </w:p>
    <w:p>
      <w:pPr>
        <w:jc w:val="both"/>
        <w:ind w:left="300" w:right="299" w:firstLine="640"/>
        <w:spacing w:after="0" w:line="241" w:lineRule="auto"/>
        <w:tabs>
          <w:tab w:leader="none" w:pos="132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Company will pay (or cause the applicable Designated Borrower to pay) to such Lender or the L/C Issuer, as the case may be, such additional amount or amounts as will compensate such Lender or the L/C Issuer or such Lender’s or the L/C Issuer’s holding company for any such reduction suffered as reasonably determined by such Lender or the L/C Issuer (which determination shall be made in good faith (and not on an arbitrary or capricious basis) and consistent with similarly situated customers of such Lender or the L/C Issuer under agreements having provisions similar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after consideration of such factors as such Lender or such L/C Issuer then reasonably determines to be relevant).</w:t>
      </w:r>
    </w:p>
    <w:p>
      <w:pPr>
        <w:spacing w:after="0" w:line="190"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the Company shall be conclusive absent manifest error. The Company shall pay (or cause the applicable Designated Borrower to pay) such Lender or the L/C Issuer, as the case may be, the amount shown as due on any such certificate within 10 days after receipt thereof.</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2" w:lineRule="auto"/>
        <w:tabs>
          <w:tab w:leader="none" w:pos="132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the L/C Issuer pursuant to the foregoing provisions of this Section for any increased costs incurred or reductions suffered more than 180 days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8"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3.05 Compensation for Losses </w:t>
      </w:r>
      <w:r>
        <w:rPr>
          <w:rFonts w:ascii="Times New Roman" w:cs="Times New Roman" w:eastAsia="Times New Roman" w:hAnsi="Times New Roman"/>
          <w:sz w:val="20"/>
          <w:szCs w:val="20"/>
          <w:color w:val="auto"/>
        </w:rPr>
        <w:t>. Upon demand of any Lender (with a copy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from time to time, the Company shall promptly compensate (or cause the applicable Designated Borrower to compensate) such Lender for and hold such Lender harmless from any loss, cost or expense incurred by it as a result 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8" w:name="page99"/>
    <w:bookmarkEnd w:id="98"/>
    <w:p>
      <w:pPr>
        <w:jc w:val="both"/>
        <w:ind w:left="300" w:right="299" w:firstLine="640"/>
        <w:spacing w:after="0" w:line="254" w:lineRule="auto"/>
        <w:tabs>
          <w:tab w:leader="none" w:pos="13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interest due thereon) denominated in an Alternative Currency on its scheduled due date or any payment thereof in a different currency; or</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85"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Company (or the applicable Designated Borrower)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Term SOFR Loan or Alternative Currency Term Rate Loan, as applicable, made by it at the Term SOFR or Alternative Currency Term Rate, as applicable, for such Loan by a matching deposit or other borrowing in the applicable interbank market for the related currency for a comparable amount and for a comparable period, whether or not such Term SOFR Loan or Alternative Currency Term Rate Loan was in fact so funded.</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3.06</w:t>
      </w:r>
      <w:r>
        <w:rPr>
          <w:sz w:val="20"/>
          <w:szCs w:val="20"/>
          <w:color w:val="auto"/>
        </w:rPr>
        <w:tab/>
      </w:r>
      <w:r>
        <w:rPr>
          <w:rFonts w:ascii="Times New Roman" w:cs="Times New Roman" w:eastAsia="Times New Roman" w:hAnsi="Times New Roman"/>
          <w:sz w:val="19"/>
          <w:szCs w:val="19"/>
          <w:b w:val="1"/>
          <w:bCs w:val="1"/>
          <w:color w:val="auto"/>
        </w:rPr>
        <w:t>Mitigation Obligations; Replacement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3" w:lineRule="auto"/>
        <w:tabs>
          <w:tab w:leader="none" w:pos="1321"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Each Lender or the L/C Issuer may make any Credit Extension to any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requires any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if any Lender or the L/C Issuer gives a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then at the request of the Company such Lender or the L/C Issuer shall, as applicable, use reasonable efforts to file any certificate or document reasonably requested by the Borrowers or the Administrative Agent, or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u w:val="single" w:color="auto"/>
          <w:color w:val="auto"/>
        </w:rPr>
        <w:t>Section</w:t>
      </w:r>
    </w:p>
    <w:p>
      <w:pPr>
        <w:spacing w:after="0" w:line="11" w:lineRule="exact"/>
        <w:rPr>
          <w:rFonts w:ascii="Times New Roman" w:cs="Times New Roman" w:eastAsia="Times New Roman" w:hAnsi="Times New Roman"/>
          <w:sz w:val="19"/>
          <w:szCs w:val="19"/>
          <w:color w:val="auto"/>
        </w:rPr>
      </w:pPr>
    </w:p>
    <w:p>
      <w:pPr>
        <w:jc w:val="both"/>
        <w:ind w:left="300" w:right="299"/>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Designated Borrower to pay) all reasonable costs and expenses incurred by any Lender or the L/C Issuer in connection with any such designation or assignment.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9" w:name="page100"/>
    <w:bookmarkEnd w:id="99"/>
    <w:p>
      <w:pPr>
        <w:jc w:val="both"/>
        <w:ind w:left="300" w:right="299" w:firstLine="640"/>
        <w:spacing w:after="0" w:line="245" w:lineRule="auto"/>
        <w:tabs>
          <w:tab w:leader="none" w:pos="133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or the L/C Issuer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or the L/C Issuer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Company may replace such Lender or the L/C Issuer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3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3.07 Survival </w:t>
      </w:r>
      <w:r>
        <w:rPr>
          <w:rFonts w:ascii="Times New Roman" w:cs="Times New Roman" w:eastAsia="Times New Roman" w:hAnsi="Times New Roman"/>
          <w:sz w:val="20"/>
          <w:szCs w:val="20"/>
          <w:color w:val="auto"/>
        </w:rPr>
        <w:t>. All obligations of the Loan Parties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the Aggregate Commitments, repayment of all other Obligations hereunder, and resignation of the Administrative Agent.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0" w:lineRule="exact"/>
        <w:rPr>
          <w:sz w:val="20"/>
          <w:szCs w:val="20"/>
          <w:color w:val="auto"/>
        </w:rPr>
      </w:pPr>
    </w:p>
    <w:p>
      <w:pPr>
        <w:jc w:val="both"/>
        <w:ind w:left="300" w:right="3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4.01 Conditions of Initial Credit Extension </w:t>
      </w:r>
      <w:r>
        <w:rPr>
          <w:rFonts w:ascii="Times New Roman" w:cs="Times New Roman" w:eastAsia="Times New Roman" w:hAnsi="Times New Roman"/>
          <w:sz w:val="20"/>
          <w:szCs w:val="20"/>
          <w:color w:val="auto"/>
        </w:rPr>
        <w:t>. The obligation of the L/C Issuer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to make its initial Credit Extension hereunder is subject to satisfaction of the following conditions precedent:</w:t>
      </w:r>
    </w:p>
    <w:p>
      <w:pPr>
        <w:spacing w:after="0" w:line="173" w:lineRule="exact"/>
        <w:rPr>
          <w:sz w:val="20"/>
          <w:szCs w:val="20"/>
          <w:color w:val="auto"/>
        </w:rPr>
      </w:pPr>
    </w:p>
    <w:p>
      <w:pPr>
        <w:jc w:val="both"/>
        <w:ind w:left="300" w:right="299" w:firstLine="640"/>
        <w:spacing w:after="0" w:line="246" w:lineRule="auto"/>
        <w:tabs>
          <w:tab w:leader="none" w:pos="130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and the Guaranty, sufficient in number for distribution to the Administrative Agent, each Lender and the Company;</w:t>
      </w:r>
    </w:p>
    <w:p>
      <w:pPr>
        <w:spacing w:after="0" w:line="159"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in favor of each Lender requesting Notes;</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46" w:lineRule="auto"/>
        <w:tabs>
          <w:tab w:leader="none" w:pos="19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powers-of-attorney,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each Loan Party is validly existing and in good standing (if applicable) under the laws of its jurisdiction of organization;</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(including local counsel, as applicable) to the Loan Parties, addressed to the Administrative Agent and each Lender, as to such customary matters concerning the Loan Parties, the Loan Documents and such other matters as the Administrative Agent shall reasonably request (which such opinions shall expressly permit reliance by permitted successors and assigns of the Administrative Agent and the Lenders as provided herein);</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8" w:lineRule="auto"/>
        <w:tabs>
          <w:tab w:leader="none" w:pos="194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w:t>
      </w: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stating that no such consents, licenses or approvals are so required;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0" w:name="page101"/>
    <w:bookmarkEnd w:id="100"/>
    <w:p>
      <w:pPr>
        <w:jc w:val="both"/>
        <w:ind w:left="940" w:right="299" w:firstLine="648"/>
        <w:spacing w:after="0" w:line="245" w:lineRule="auto"/>
        <w:tabs>
          <w:tab w:leader="none" w:pos="230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Company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the date of the Audited Financial Statements that has had or could be reasonably expected to have, either individually or in the aggregate, a Material Adverse Effect; and (C) a calculation of the Consolidated Leverage Ratio as of the last day of the fiscal quarter of the Company most recently ended prior to the Closing Date;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236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Existing Credit Agreement has been or concurrently with the Closing Date is being terminated and all Liens securing obligations under the Existing Credit Agreement have been or concurrently with the Closing Date are being released; and</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54" w:lineRule="auto"/>
        <w:tabs>
          <w:tab w:leader="none" w:pos="194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Administrative Agent, the L/C Issuer, the Swing Line Lender or the Lenders reasonably may require.</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required to be paid on or before the Closing Date shall have been paid.</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waived by the Administrative Agent, the Company shall have paid all fees, charges and disbursements of counsel to the Administrative Agent (directly to such counsel if requested by the Administrative Agent) to the extent invoiced at least three (3) Business Days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Lender shall have received at least three (3) Business Days prior to the Closing Date (i) all documentation and other information reasonably requested by the Administrative Agent or such Lender, as applicable, at least ten (10) Business Days prior to the Closing Date in connection with applicable “know your customer” and anti-money-laundering rules and regulations, including the Act; and (ii) with respect to any Borrower that qualifies as a “legal entity customer” under the Beneficial Ownership Regulation, a Beneficial Ownership Certification in relation to such Borrower.</w:t>
      </w:r>
    </w:p>
    <w:p>
      <w:pPr>
        <w:spacing w:after="0" w:line="185" w:lineRule="exact"/>
        <w:rPr>
          <w:rFonts w:ascii="Times New Roman" w:cs="Times New Roman" w:eastAsia="Times New Roman" w:hAnsi="Times New Roman"/>
          <w:sz w:val="20"/>
          <w:szCs w:val="20"/>
          <w:color w:val="auto"/>
        </w:rPr>
      </w:pPr>
    </w:p>
    <w:p>
      <w:pPr>
        <w:ind w:left="300" w:right="359" w:firstLine="640"/>
        <w:spacing w:after="0" w:line="269" w:lineRule="auto"/>
        <w:tabs>
          <w:tab w:leader="none" w:pos="130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shall have received copies of the financial statements referred to in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each in form and substance satisfactory to each of them.</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there shall not have occurred any event, change, circumstance, occurrence, effect or state of facts that, individually or in the aggregate, has had, or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any pending or threatened action, suit, investigation or proceeding in any court or before any arbitrator or Governmental Authority that (x) either individually or in the aggregate, if determined adversely to the Company or any Restricted Subsidiary, could reasonably be expected to have a Material Adverse Effect, or (y) purports to affect any transaction contemplated under this Agreement or any Loan Document or the ability of any Borrower to perform its respective obligations under this Agreement or any Loan Document.</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1" w:name="page102"/>
    <w:bookmarkEnd w:id="101"/>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to a Lender unless the Administrative Agent shall have received notice from such Lender prior to the proposed Closing Date specifying its objection thereto.</w:t>
      </w:r>
    </w:p>
    <w:p>
      <w:pPr>
        <w:spacing w:after="0" w:line="15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4.02 Conditions to all Credit Extensions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Incremental Term Loan incurred to finance a substantially concurrent Limited Condition Acquisition, the obligation of each Lender and each L/C Issuer to honor any Request for Credit Extension (other than a Committed Loan Notice requesting only a conversion of Committed Loans to the other Type, or a continuation of Term SOFR Loans or Alternative Currency Term Rate Loans) is subject to the following conditions precedent:</w:t>
      </w:r>
    </w:p>
    <w:p>
      <w:pPr>
        <w:spacing w:after="0" w:line="183" w:lineRule="exact"/>
        <w:rPr>
          <w:sz w:val="20"/>
          <w:szCs w:val="20"/>
          <w:color w:val="auto"/>
        </w:rPr>
      </w:pPr>
    </w:p>
    <w:p>
      <w:pPr>
        <w:jc w:val="both"/>
        <w:ind w:left="300" w:right="299" w:firstLine="640"/>
        <w:spacing w:after="0" w:line="254" w:lineRule="auto"/>
        <w:tabs>
          <w:tab w:leader="none" w:pos="1308"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(i) the Borrowers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(ii) each Loan Party contained in each other Loan Document, or which are contained in any document furnished at any time under or in connection herewith or therewith, shall be true and correct in all material respects (or, to the extent any such representation and warranty is subject to a materiality or Material Adverse Effect qualification, in all respects) on and as of the date of such Credit Extension, except to the extent that such representations and warranties specifically refer to an earlier date, in which case they shall be true and correct in all material respects (or, to the extent any such representation and warranty is subject to a materiality or Material Adverse Effect qualification, in all respects) as of such earlier date, and except that for purposes of this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w:t>
      </w:r>
    </w:p>
    <w:p>
      <w:pPr>
        <w:spacing w:after="0" w:line="6" w:lineRule="exact"/>
        <w:rPr>
          <w:rFonts w:ascii="Times New Roman" w:cs="Times New Roman" w:eastAsia="Times New Roman" w:hAnsi="Times New Roman"/>
          <w:sz w:val="19"/>
          <w:szCs w:val="19"/>
          <w:color w:val="auto"/>
        </w:rPr>
      </w:pPr>
    </w:p>
    <w:p>
      <w:pPr>
        <w:ind w:left="300" w:right="319" w:hanging="8"/>
        <w:spacing w:after="0" w:line="246" w:lineRule="auto"/>
        <w:tabs>
          <w:tab w:leader="none" w:pos="634" w:val="left"/>
        </w:tabs>
        <w:numPr>
          <w:ilvl w:val="0"/>
          <w:numId w:val="1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u w:val="single" w:color="auto"/>
          <w:color w:val="auto"/>
        </w:rPr>
      </w:pPr>
    </w:p>
    <w:p>
      <w:pPr>
        <w:ind w:left="300" w:right="339" w:firstLine="640"/>
        <w:spacing w:after="0" w:line="269" w:lineRule="auto"/>
        <w:tabs>
          <w:tab w:leader="none" w:pos="130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 thereof.</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to the designation of such Borrower as a Designated Borrower shall have been met to the satisfaction of the Administrative Agent.</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46" w:lineRule="auto"/>
        <w:tabs>
          <w:tab w:leader="none" w:pos="130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Loan to be denominated in an Alternative Currency, there shall not have occurred any change in national or international financial, political or economic conditions or currency exchange rates or exchange controls which in the reasonable opinion of the Administrative Agent or the Required Lenders, in the case of a Committed Loan, would make it impracticable for such Loan to be denominated in the relevant Alternative Currency.</w:t>
      </w:r>
    </w:p>
    <w:p>
      <w:pPr>
        <w:spacing w:after="0" w:line="18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Committed Loan Notice requesting only a conversion of Committed Loans to the other Type or a continuation of Term SOFR or Alternative Currency Term Rate Loans) submitted by the Company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Each Borrower represents and warrants to the Administrative Agent and the Lenders that:</w:t>
      </w:r>
    </w:p>
    <w:p>
      <w:pPr>
        <w:spacing w:after="0" w:line="212" w:lineRule="exact"/>
        <w:rPr>
          <w:sz w:val="20"/>
          <w:szCs w:val="20"/>
          <w:color w:val="auto"/>
        </w:rPr>
      </w:pPr>
    </w:p>
    <w:p>
      <w:pPr>
        <w:jc w:val="both"/>
        <w:ind w:left="300" w:right="299" w:firstLine="648"/>
        <w:spacing w:after="0" w:line="300" w:lineRule="auto"/>
        <w:rPr>
          <w:sz w:val="20"/>
          <w:szCs w:val="20"/>
          <w:color w:val="auto"/>
        </w:rPr>
      </w:pPr>
      <w:r>
        <w:rPr>
          <w:rFonts w:ascii="Times New Roman" w:cs="Times New Roman" w:eastAsia="Times New Roman" w:hAnsi="Times New Roman"/>
          <w:sz w:val="19"/>
          <w:szCs w:val="19"/>
          <w:b w:val="1"/>
          <w:bCs w:val="1"/>
          <w:color w:val="auto"/>
        </w:rPr>
        <w:t>5.01 Existence, Qualification and Power</w:t>
      </w:r>
      <w:r>
        <w:rPr>
          <w:rFonts w:ascii="Times New Roman" w:cs="Times New Roman" w:eastAsia="Times New Roman" w:hAnsi="Times New Roman"/>
          <w:sz w:val="19"/>
          <w:szCs w:val="19"/>
          <w:color w:val="auto"/>
        </w:rPr>
        <w:t>. Each Loan Party and each Restricted Subsidiary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thereof (a) is duly organized or formed, validly existing and, as applicable, in good standing (to the extent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2" w:name="page103"/>
    <w:bookmarkEnd w:id="102"/>
    <w:p>
      <w:pPr>
        <w:jc w:val="both"/>
        <w:ind w:left="300" w:right="319"/>
        <w:spacing w:after="0" w:line="260" w:lineRule="auto"/>
        <w:rPr>
          <w:sz w:val="20"/>
          <w:szCs w:val="20"/>
          <w:color w:val="auto"/>
        </w:rPr>
      </w:pPr>
      <w:r>
        <w:rPr>
          <w:rFonts w:ascii="Times New Roman" w:cs="Times New Roman" w:eastAsia="Times New Roman" w:hAnsi="Times New Roman"/>
          <w:sz w:val="19"/>
          <w:szCs w:val="19"/>
          <w:color w:val="auto"/>
        </w:rPr>
        <w:t>such concept is applicable in the relevant jurisdiction) under the Laws of the jurisdiction of its incorporation or organization, (b) has all requisite power and authority and all requisite governmental licenses, authorizations, consents and approvals to (i) own or lease its assets and carry on its business and</w:t>
      </w:r>
    </w:p>
    <w:p>
      <w:pPr>
        <w:jc w:val="both"/>
        <w:ind w:left="300" w:right="299" w:hanging="8"/>
        <w:spacing w:after="0" w:line="241" w:lineRule="auto"/>
        <w:tabs>
          <w:tab w:leader="none" w:pos="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83"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5.02 Authorization; No Contravention </w:t>
      </w:r>
      <w:r>
        <w:rPr>
          <w:rFonts w:ascii="Times New Roman" w:cs="Times New Roman" w:eastAsia="Times New Roman" w:hAnsi="Times New Roman"/>
          <w:sz w:val="20"/>
          <w:szCs w:val="20"/>
          <w:color w:val="auto"/>
        </w:rPr>
        <w:t>. The execution, delivery and performance by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so comply could not reasonably be expected to have a Material Adverse Effect.</w:t>
      </w:r>
    </w:p>
    <w:p>
      <w:pPr>
        <w:spacing w:after="0" w:line="182"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5.03 Governmental Authorization; Other Consents </w:t>
      </w:r>
      <w:r>
        <w:rPr>
          <w:rFonts w:ascii="Times New Roman" w:cs="Times New Roman" w:eastAsia="Times New Roman" w:hAnsi="Times New Roman"/>
          <w:sz w:val="20"/>
          <w:szCs w:val="20"/>
          <w:color w:val="auto"/>
        </w:rPr>
        <w:t>. No approval, consent,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those as have been obtained or made and are in full force and effect or where the failure to do so, individually or in the aggregate, could not reasonably be expected to have a Material Adverse Effect.</w:t>
      </w:r>
    </w:p>
    <w:p>
      <w:pPr>
        <w:spacing w:after="0" w:line="17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5.04 Binding Effect </w:t>
      </w:r>
      <w:r>
        <w:rPr>
          <w:rFonts w:ascii="Times New Roman" w:cs="Times New Roman" w:eastAsia="Times New Roman" w:hAnsi="Times New Roman"/>
          <w:sz w:val="20"/>
          <w:szCs w:val="20"/>
          <w:color w:val="auto"/>
        </w:rPr>
        <w:t>. This Agreement has been, and each other Loan Document,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may be limited by applicable bankruptcy, insolvency, reorganization, moratorium, or similar laws affecting the enforcement of creditors’ rights generally and by general principles of equity.</w:t>
      </w:r>
    </w:p>
    <w:p>
      <w:pPr>
        <w:spacing w:after="0" w:line="179"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5.05</w:t>
      </w:r>
      <w:r>
        <w:rPr>
          <w:sz w:val="20"/>
          <w:szCs w:val="20"/>
          <w:color w:val="auto"/>
        </w:rPr>
        <w:tab/>
      </w:r>
      <w:r>
        <w:rPr>
          <w:rFonts w:ascii="Times New Roman" w:cs="Times New Roman" w:eastAsia="Times New Roman" w:hAnsi="Times New Roman"/>
          <w:sz w:val="19"/>
          <w:szCs w:val="19"/>
          <w:b w:val="1"/>
          <w:bCs w:val="1"/>
          <w:color w:val="auto"/>
        </w:rPr>
        <w:t>Financial Statements; No Material Adverse Effect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319" w:firstLine="640"/>
        <w:spacing w:after="0" w:line="244" w:lineRule="auto"/>
        <w:tabs>
          <w:tab w:leader="none" w:pos="130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unaudited consolidated balance sheet of the Company and its Subsidiaries and the related consolidated statements of income or operations, shareholders’ equity and cash flows most recently delivered by the Company as required under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w:t>
      </w:r>
      <w:r>
        <w:rPr>
          <w:rFonts w:ascii="Times New Roman" w:cs="Times New Roman" w:eastAsia="Times New Roman" w:hAnsi="Times New Roman"/>
          <w:sz w:val="20"/>
          <w:szCs w:val="20"/>
          <w:u w:val="single" w:color="auto"/>
          <w:color w:val="auto"/>
        </w:rPr>
        <w:t>clauses</w:t>
      </w:r>
    </w:p>
    <w:p>
      <w:pPr>
        <w:spacing w:after="0" w:line="1" w:lineRule="exact"/>
        <w:rPr>
          <w:rFonts w:ascii="Times New Roman" w:cs="Times New Roman" w:eastAsia="Times New Roman" w:hAnsi="Times New Roman"/>
          <w:sz w:val="20"/>
          <w:szCs w:val="20"/>
          <w:color w:val="auto"/>
        </w:rPr>
      </w:pPr>
    </w:p>
    <w:p>
      <w:pPr>
        <w:ind w:left="520" w:hanging="228"/>
        <w:spacing w:after="0"/>
        <w:tabs>
          <w:tab w:leader="none" w:pos="520" w:val="left"/>
        </w:tabs>
        <w:numPr>
          <w:ilvl w:val="0"/>
          <w:numId w:val="1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3" w:name="page104"/>
    <w:bookmarkEnd w:id="103"/>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absence of footnotes and to normal year-end audit adjustments. </w:t>
      </w:r>
      <w:r>
        <w:rPr>
          <w:rFonts w:ascii="Times New Roman" w:cs="Times New Roman" w:eastAsia="Times New Roman" w:hAnsi="Times New Roman"/>
          <w:sz w:val="20"/>
          <w:szCs w:val="20"/>
          <w:u w:val="single" w:color="auto"/>
          <w:color w:val="auto"/>
        </w:rPr>
        <w:t>Schedule 5.05</w:t>
      </w:r>
      <w:r>
        <w:rPr>
          <w:rFonts w:ascii="Times New Roman" w:cs="Times New Roman" w:eastAsia="Times New Roman" w:hAnsi="Times New Roman"/>
          <w:sz w:val="20"/>
          <w:szCs w:val="20"/>
          <w:color w:val="auto"/>
        </w:rPr>
        <w:t xml:space="preserve"> sets forth all material indebtedness and other liabilities, direct or contingent, of the Company and its consolidated Subsidiaries not included in such financial statements, including liabilities for taxes, material commitments and Indebtedness.</w:t>
      </w:r>
    </w:p>
    <w:p>
      <w:pPr>
        <w:spacing w:after="0" w:line="180" w:lineRule="exact"/>
        <w:rPr>
          <w:sz w:val="20"/>
          <w:szCs w:val="20"/>
          <w:color w:val="auto"/>
        </w:rPr>
      </w:pPr>
    </w:p>
    <w:p>
      <w:pPr>
        <w:jc w:val="both"/>
        <w:ind w:left="300" w:right="299" w:firstLine="640"/>
        <w:spacing w:after="0" w:line="254" w:lineRule="auto"/>
        <w:tabs>
          <w:tab w:leader="none" w:pos="130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5.06 Litigation </w:t>
      </w:r>
      <w:r>
        <w:rPr>
          <w:rFonts w:ascii="Times New Roman" w:cs="Times New Roman" w:eastAsia="Times New Roman" w:hAnsi="Times New Roman"/>
          <w:sz w:val="20"/>
          <w:szCs w:val="20"/>
          <w:color w:val="auto"/>
        </w:rPr>
        <w:t>. There is no litigation, investigation or proceeding pending 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knowledge of the Company, threatened in arbitration or before any Governmental Authority, against or affecting the Company or any of its Restricted Subsidiaries that (a) in any manner draws into question the validity or enforceability of this Agreement or any other Loan Document, or (b) as to which there is a reasonable possibility of an adverse determination that could reasonably be expected to have, either individually or in the aggregate, a Material Adverse Effect.</w:t>
      </w:r>
    </w:p>
    <w:p>
      <w:pPr>
        <w:spacing w:after="0" w:line="179"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5.07 No Default</w:t>
      </w:r>
      <w:r>
        <w:rPr>
          <w:rFonts w:ascii="Times New Roman" w:cs="Times New Roman" w:eastAsia="Times New Roman" w:hAnsi="Times New Roman"/>
          <w:sz w:val="20"/>
          <w:szCs w:val="20"/>
          <w:color w:val="auto"/>
        </w:rPr>
        <w:t>. Neither any Loan Party nor any Restricted Subsidiary thereof is in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or with respect to any Contractual Obligation that could, either individually or in the aggregate, reasonably be expected to have a Material Adverse Effect.</w:t>
      </w:r>
    </w:p>
    <w:p>
      <w:pPr>
        <w:spacing w:after="0" w:line="169"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5.08</w:t>
      </w:r>
      <w:r>
        <w:rPr>
          <w:sz w:val="20"/>
          <w:szCs w:val="20"/>
          <w:color w:val="auto"/>
        </w:rPr>
        <w:tab/>
      </w:r>
      <w:r>
        <w:rPr>
          <w:rFonts w:ascii="Times New Roman" w:cs="Times New Roman" w:eastAsia="Times New Roman" w:hAnsi="Times New Roman"/>
          <w:sz w:val="19"/>
          <w:szCs w:val="19"/>
          <w:b w:val="1"/>
          <w:bCs w:val="1"/>
          <w:color w:val="auto"/>
        </w:rPr>
        <w:t>Ownership of Property; Liens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9" w:lineRule="auto"/>
        <w:tabs>
          <w:tab w:leader="none" w:pos="130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each Restricted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Restricted Subsidiaries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To the best knowledge of the Company, no slogan or other advertising device, product, process, method, substance, part or other material now employed, or now contemplated to be employed, by the Company or any Restricted Subsidiary infringes upon any rights held by any other Person, except for any such infringements that, individually or in the aggregate, would not have a Material Adverse Effect.</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5.09 Environmental Compliance </w:t>
      </w:r>
      <w:r>
        <w:rPr>
          <w:rFonts w:ascii="Times New Roman" w:cs="Times New Roman" w:eastAsia="Times New Roman" w:hAnsi="Times New Roman"/>
          <w:sz w:val="20"/>
          <w:szCs w:val="20"/>
          <w:color w:val="auto"/>
        </w:rPr>
        <w:t>. Neither the Company nor any of the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(i) has failed to comply with any Environmental Law or to obtain, maintain or comply with any permit, license or other approval required under any Environmental Law that could reasonably be expected to have, either individually or in the aggregate, a Material Adverse Effect, (ii) has become subject to any Environmental Liability that could reasonably be expected to have, either individually or in the aggregate, a Material Adverse Effect, (iii) has received notice of any claim with respect to any Environmental Liability that could reasonably be expected to have, either individually or in the aggregate, a Material Adverse Effect or (iv) knows of any basis for any Environmental Liability that could reasonably be expected to have, either individually or in the aggregate, a Material Adverse Effect.</w:t>
      </w:r>
    </w:p>
    <w:p>
      <w:pPr>
        <w:spacing w:after="0" w:line="18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5.10 Insurance</w:t>
      </w:r>
      <w:r>
        <w:rPr>
          <w:rFonts w:ascii="Times New Roman" w:cs="Times New Roman" w:eastAsia="Times New Roman" w:hAnsi="Times New Roman"/>
          <w:sz w:val="20"/>
          <w:szCs w:val="20"/>
          <w:color w:val="auto"/>
        </w:rPr>
        <w:t>. The properties of the Company and the Restricted Subsidiaries are insured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financially sound and reputable insurance companies not Affiliates of the Company,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Restricted Subsidiary operates.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4" w:name="page105"/>
    <w:bookmarkEnd w:id="104"/>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5.11 Taxes</w:t>
      </w:r>
      <w:r>
        <w:rPr>
          <w:rFonts w:ascii="Times New Roman" w:cs="Times New Roman" w:eastAsia="Times New Roman" w:hAnsi="Times New Roman"/>
          <w:sz w:val="20"/>
          <w:szCs w:val="20"/>
          <w:color w:val="auto"/>
        </w:rPr>
        <w:t>. The Company and its Restricted Subsidiaries have timely filed or caused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filed all Federal income tax returns and all other material tax returns that are required to be filed by them, and have paid all taxes shown to be due and payable on such returns or on any assessments made against it or its property and all other taxes, fees or other charges imposed on it or any of its property by any Governmental Authority, except (i) to the extent the failure to do so would not have a Material Adverse Effect or (ii) where the same are currently being contested in good faith by appropriate proceedings and for which the Company or such Subsidiary, as the case may be, has set aside on its books adequate reserves.</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19"/>
          <w:szCs w:val="19"/>
          <w:b w:val="1"/>
          <w:bCs w:val="1"/>
          <w:color w:val="auto"/>
        </w:rPr>
        <w:t>ERISA Compliance; Canadian Pension Plans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8" w:lineRule="auto"/>
        <w:tabs>
          <w:tab w:leader="none" w:pos="130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is in compliance with the applicable provisions of ERISA, the Code and other Federal or state laws except as would not reasonably be expected to have a Material Adverse Effect. Each Pension Plan that is intended to be a qualified plan under Section 401(a) of the Code has received a favorable determination letter from the IRS or is covered by an IRS opinion or advisory letter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Company, nothing has occurred that would prevent or cause the loss of such tax-qualified status.</w:t>
      </w:r>
    </w:p>
    <w:p>
      <w:pPr>
        <w:spacing w:after="0" w:line="173" w:lineRule="exact"/>
        <w:rPr>
          <w:rFonts w:ascii="Times New Roman" w:cs="Times New Roman" w:eastAsia="Times New Roman" w:hAnsi="Times New Roman"/>
          <w:sz w:val="19"/>
          <w:szCs w:val="19"/>
          <w:color w:val="auto"/>
        </w:rPr>
      </w:pPr>
    </w:p>
    <w:p>
      <w:pPr>
        <w:jc w:val="both"/>
        <w:ind w:left="300" w:right="299" w:firstLine="640"/>
        <w:spacing w:after="0" w:line="246" w:lineRule="auto"/>
        <w:tabs>
          <w:tab w:leader="none" w:pos="130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5" w:lineRule="auto"/>
        <w:tabs>
          <w:tab w:leader="none" w:pos="130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reasonably be expected to have a Material Adverse Effect: (i)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73" w:lineRule="exact"/>
        <w:rPr>
          <w:rFonts w:ascii="Times New Roman" w:cs="Times New Roman" w:eastAsia="Times New Roman" w:hAnsi="Times New Roman"/>
          <w:sz w:val="19"/>
          <w:szCs w:val="19"/>
          <w:color w:val="auto"/>
        </w:rPr>
      </w:pPr>
    </w:p>
    <w:p>
      <w:pPr>
        <w:jc w:val="both"/>
        <w:ind w:left="300" w:right="319" w:firstLine="640"/>
        <w:spacing w:after="0" w:line="249" w:lineRule="auto"/>
        <w:tabs>
          <w:tab w:leader="none" w:pos="130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as of the Closing Date that each Borrower is not and will not be using “plan assets” (within the meaning of 29 CFR § 2510.3-101, as modified by Section 3(42) of ERISA) of one or more Benefit Plans in connection with the Loans, the Letters of Credit or the Commitments.</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Canadian Pension Plan is in compliance in all material respects with the applicable provisions of all Canadian Laws except as would not reasonably be expected to have a Material Adverse Effect. Each Canadian Pension Plan is not a registered pension plan established by the Loan Parties or any Restricted Subsidiary thereof. Except as could not reasonably be expected to have a Material Adverse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05" w:name="page106"/>
    <w:bookmarkEnd w:id="105"/>
    <w:p>
      <w:pPr>
        <w:ind w:left="300" w:right="319"/>
        <w:spacing w:after="0" w:line="269" w:lineRule="auto"/>
        <w:rPr>
          <w:sz w:val="20"/>
          <w:szCs w:val="20"/>
          <w:color w:val="auto"/>
        </w:rPr>
      </w:pPr>
      <w:r>
        <w:rPr>
          <w:rFonts w:ascii="Times New Roman" w:cs="Times New Roman" w:eastAsia="Times New Roman" w:hAnsi="Times New Roman"/>
          <w:sz w:val="20"/>
          <w:szCs w:val="20"/>
          <w:color w:val="auto"/>
        </w:rPr>
        <w:t>Effect, each Loan Party and each Restricted Subsidiary has made all required contributions to each Canadian Pension Plan.</w:t>
      </w:r>
    </w:p>
    <w:p>
      <w:pPr>
        <w:spacing w:after="0" w:line="159" w:lineRule="exact"/>
        <w:rPr>
          <w:sz w:val="20"/>
          <w:szCs w:val="20"/>
          <w:color w:val="auto"/>
        </w:rPr>
      </w:pPr>
    </w:p>
    <w:p>
      <w:pPr>
        <w:jc w:val="both"/>
        <w:ind w:left="300" w:right="299" w:firstLine="640"/>
        <w:spacing w:after="0" w:line="246" w:lineRule="auto"/>
        <w:tabs>
          <w:tab w:leader="none" w:pos="130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Borrowers, threatened claims, actions or lawsuits, or action by any Governmental Authority, with respect to any Canadian Pension Plan that could reasonably be expected to have a Material Adverse Effect. There has been no violation of fiduciary duty with respect to any Canadian Pension Plan that has resulted or could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or Restricted Subsidiary maintains, contributes to, or has any liability or contingent liability with respect to, a Canadian Defined Benefit Pension Plan, that would reasonably be expected to have a Material Adverse Effect.</w:t>
      </w:r>
    </w:p>
    <w:p>
      <w:pPr>
        <w:spacing w:after="0" w:line="17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5.13 Principal Places of Business and Subsidiaries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(i) the name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chief executive office of, the principal place of business of, the ownership interest of the Company in, the jurisdiction of organization of, and the type of, each Subsidiary and whether each such Subsidiary is a Restricted Subsidiary or an Unrestricted Subsidiary, in each case as of the Closing Date, and the chief executive office and principal place of business of the Company as of the Closing Date and (ii) to the extent applicable, the true and correct unique identification number of each Designated Borrower that is a Foreign Subsidiary and a party hereto on the Closing Date that has been issued by its jurisdiction of organization and the name of such jurisdiction. The true and correct U.S. Federal taxpayer identification number of the Company and each Designated Borrower that is a U.S. Subsidiary and a party hereto on the Closing Date is set forth on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Times New Roman" w:cs="Times New Roman" w:eastAsia="Times New Roman" w:hAnsi="Times New Roman"/>
          <w:sz w:val="19"/>
          <w:szCs w:val="19"/>
          <w:b w:val="1"/>
          <w:bCs w:val="1"/>
          <w:color w:val="auto"/>
        </w:rPr>
        <w:t>Margin Regulations; Investment Company Act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3" w:lineRule="auto"/>
        <w:tabs>
          <w:tab w:leader="none" w:pos="130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the Company and its Subsidiaries on a consolidated basis) subject to the provisions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subject to any restriction contained in any agreement or instrument between any Borrower and any Lender or any Affiliate of any Lender relating to Indebtedness and within the scope of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xml:space="preserve"> will be margin stock.</w:t>
      </w:r>
    </w:p>
    <w:p>
      <w:pPr>
        <w:spacing w:after="0" w:line="185"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Person Controlling the Company, or any Restricted Subsidiary is required to be registered as an “investment company” under the Investment Company Act of 1940.</w:t>
      </w:r>
    </w:p>
    <w:p>
      <w:pPr>
        <w:spacing w:after="0" w:line="15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5.15 Disclosure</w:t>
      </w:r>
      <w:r>
        <w:rPr>
          <w:rFonts w:ascii="Times New Roman" w:cs="Times New Roman" w:eastAsia="Times New Roman" w:hAnsi="Times New Roman"/>
          <w:sz w:val="20"/>
          <w:szCs w:val="20"/>
          <w:color w:val="auto"/>
        </w:rPr>
        <w:t>. The Company’s reports filed with the SEC and publicly available disclose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Lenders all agreements, instruments, and corporate or other restrictions to which the Company or any of the Restricted Subsidiaries is subject, and all other matters known to any of them, that, individually or in the aggregate, could reasonably be expected to result in a Material Adverse Effect. No documents, reports (including without limitation all reports that the Company is required to file with the SEC), financial statements, certificates or other information furnished by or on behalf of the Company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Company represents only that such information was prepared in good faith based upon assumptions believed to be reasonable at the time.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6" w:name="page107"/>
    <w:bookmarkEnd w:id="106"/>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5.16 Compliance with Laws</w:t>
      </w:r>
      <w:r>
        <w:rPr>
          <w:rFonts w:ascii="Times New Roman" w:cs="Times New Roman" w:eastAsia="Times New Roman" w:hAnsi="Times New Roman"/>
          <w:sz w:val="20"/>
          <w:szCs w:val="20"/>
          <w:color w:val="auto"/>
        </w:rPr>
        <w:t>. Each Loan Party and each Restricted Subsidiary thereof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9"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5.17 Senior Debt</w:t>
      </w:r>
      <w:r>
        <w:rPr>
          <w:rFonts w:ascii="Times New Roman" w:cs="Times New Roman" w:eastAsia="Times New Roman" w:hAnsi="Times New Roman"/>
          <w:sz w:val="20"/>
          <w:szCs w:val="20"/>
          <w:color w:val="auto"/>
        </w:rPr>
        <w:t>. The Obligations constitute senior debt for purposes of all subordinated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 facilities, if any.</w:t>
      </w:r>
    </w:p>
    <w:p>
      <w:pPr>
        <w:spacing w:after="0" w:line="15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5.18 OFAC</w:t>
      </w:r>
      <w:r>
        <w:rPr>
          <w:rFonts w:ascii="Times New Roman" w:cs="Times New Roman" w:eastAsia="Times New Roman" w:hAnsi="Times New Roman"/>
          <w:sz w:val="20"/>
          <w:szCs w:val="20"/>
          <w:color w:val="auto"/>
        </w:rPr>
        <w:t>. Neither the Company, nor any of its Subsidiaries, nor, to the knowledge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Subsidiaries, any director, officer, employee, agent, affiliate or representative thereof, is an individual or entity that is or is owned or controlled by individuals or entities that are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The Company has implemented and maintains in effect policies and procedures designed to ensure compliance by the Company, its Subsidiaries and their respective directors, officers, employees and agents with applicable Sanctions, and the Company, its Subsidiaries and their respective officers and employees and to the knowledge of the Company its directors and agents, are in compliance with applicable Sanctions in all material respects.</w:t>
      </w:r>
    </w:p>
    <w:p>
      <w:pPr>
        <w:spacing w:after="0" w:line="190"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5.19 Anti-Corruption Laws </w:t>
      </w:r>
      <w:r>
        <w:rPr>
          <w:rFonts w:ascii="Times New Roman" w:cs="Times New Roman" w:eastAsia="Times New Roman" w:hAnsi="Times New Roman"/>
          <w:sz w:val="20"/>
          <w:szCs w:val="20"/>
          <w:color w:val="auto"/>
        </w:rPr>
        <w:t>. The Company and its Subsidiaries have conducted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businesses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76"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5.20 Representations as to Foreign Obligors </w:t>
      </w:r>
      <w:r>
        <w:rPr>
          <w:rFonts w:ascii="Times New Roman" w:cs="Times New Roman" w:eastAsia="Times New Roman" w:hAnsi="Times New Roman"/>
          <w:sz w:val="20"/>
          <w:szCs w:val="20"/>
          <w:color w:val="auto"/>
        </w:rPr>
        <w:t>. Each of the Company and each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Obligor represents and warrants to the Administrative Agent and the Lenders that:</w:t>
      </w:r>
    </w:p>
    <w:p>
      <w:pPr>
        <w:spacing w:after="0" w:line="156" w:lineRule="exact"/>
        <w:rPr>
          <w:sz w:val="20"/>
          <w:szCs w:val="20"/>
          <w:color w:val="auto"/>
        </w:rPr>
      </w:pPr>
    </w:p>
    <w:p>
      <w:pPr>
        <w:jc w:val="both"/>
        <w:ind w:left="300" w:right="299" w:firstLine="640"/>
        <w:spacing w:after="0" w:line="243" w:lineRule="auto"/>
        <w:tabs>
          <w:tab w:leader="none" w:pos="130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2" w:lineRule="auto"/>
        <w:tabs>
          <w:tab w:leader="none" w:pos="130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07" w:name="page108"/>
    <w:bookmarkEnd w:id="107"/>
    <w:p>
      <w:pPr>
        <w:ind w:left="300" w:right="319"/>
        <w:spacing w:after="0" w:line="269" w:lineRule="auto"/>
        <w:rPr>
          <w:sz w:val="20"/>
          <w:szCs w:val="20"/>
          <w:color w:val="auto"/>
        </w:rPr>
      </w:pPr>
      <w:r>
        <w:rPr>
          <w:rFonts w:ascii="Times New Roman" w:cs="Times New Roman" w:eastAsia="Times New Roman" w:hAnsi="Times New Roman"/>
          <w:sz w:val="20"/>
          <w:szCs w:val="20"/>
          <w:color w:val="auto"/>
        </w:rPr>
        <w:t>Applicable Foreign Obligor Document or any other document is sought to be enforced and (ii) any charge or tax as has been timely paid.</w:t>
      </w:r>
    </w:p>
    <w:p>
      <w:pPr>
        <w:spacing w:after="0" w:line="159" w:lineRule="exact"/>
        <w:rPr>
          <w:sz w:val="20"/>
          <w:szCs w:val="20"/>
          <w:color w:val="auto"/>
        </w:rPr>
      </w:pPr>
    </w:p>
    <w:p>
      <w:pPr>
        <w:jc w:val="both"/>
        <w:ind w:left="300" w:right="299" w:firstLine="640"/>
        <w:spacing w:after="0" w:line="245" w:lineRule="auto"/>
        <w:tabs>
          <w:tab w:leader="none" w:pos="130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such Foreign Obligor, 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made or obtained as soon as is reasonably practicable).</w:t>
      </w:r>
    </w:p>
    <w:p>
      <w:pPr>
        <w:spacing w:after="0" w:line="18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5.21 Affected Financial Institutions; Covered Entities. </w:t>
      </w:r>
      <w:r>
        <w:rPr>
          <w:rFonts w:ascii="Times New Roman" w:cs="Times New Roman" w:eastAsia="Times New Roman" w:hAnsi="Times New Roman"/>
          <w:sz w:val="20"/>
          <w:szCs w:val="20"/>
          <w:color w:val="auto"/>
        </w:rPr>
        <w:t>No Loan Party is an Affected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Institution. No Loan Party is a Covered Entity.</w:t>
      </w:r>
    </w:p>
    <w:p>
      <w:pPr>
        <w:spacing w:after="0" w:line="152"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5.22 Beneficial Ownership </w:t>
      </w:r>
      <w:r>
        <w:rPr>
          <w:rFonts w:ascii="Times New Roman" w:cs="Times New Roman" w:eastAsia="Times New Roman" w:hAnsi="Times New Roman"/>
          <w:sz w:val="20"/>
          <w:szCs w:val="20"/>
          <w:color w:val="auto"/>
        </w:rPr>
        <w:t>. As of the Closing Date, the information included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Beneficial Ownership Certification, if applicable, is true and correct in all respects.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So long as any Lender shall have any Commitment hereunder, any Loan or other Obligation hereunder shall remain unpaid or unsatisfied, or any Letter of Credit shall remain outstanding, the Company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Restricted Subsidiary to:</w:t>
      </w:r>
    </w:p>
    <w:p>
      <w:pPr>
        <w:spacing w:after="0" w:line="176"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6.01 Financial Statements</w:t>
      </w:r>
      <w:r>
        <w:rPr>
          <w:rFonts w:ascii="Times New Roman" w:cs="Times New Roman" w:eastAsia="Times New Roman" w:hAnsi="Times New Roman"/>
          <w:sz w:val="20"/>
          <w:szCs w:val="20"/>
          <w:color w:val="auto"/>
        </w:rPr>
        <w:t>. Deliver to the Administrative Agent and each Lender, in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detail satisfactory to the Administrative Agent and the Required Lenders:</w:t>
      </w:r>
    </w:p>
    <w:p>
      <w:pPr>
        <w:spacing w:after="0" w:line="156" w:lineRule="exact"/>
        <w:rPr>
          <w:sz w:val="20"/>
          <w:szCs w:val="20"/>
          <w:color w:val="auto"/>
        </w:rPr>
      </w:pPr>
    </w:p>
    <w:p>
      <w:pPr>
        <w:jc w:val="both"/>
        <w:ind w:left="300" w:right="299" w:firstLine="640"/>
        <w:spacing w:after="0" w:line="242" w:lineRule="auto"/>
        <w:tabs>
          <w:tab w:leader="none" w:pos="130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Company (or, if earlier, 15 days after the date required to be filed with the SEC) (commencing with the fiscal year ending December 31, 2026),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92" w:lineRule="exact"/>
        <w:rPr>
          <w:rFonts w:ascii="Times New Roman" w:cs="Times New Roman" w:eastAsia="Times New Roman" w:hAnsi="Times New Roman"/>
          <w:sz w:val="20"/>
          <w:szCs w:val="20"/>
          <w:color w:val="auto"/>
        </w:rPr>
      </w:pPr>
    </w:p>
    <w:p>
      <w:pPr>
        <w:jc w:val="both"/>
        <w:ind w:left="300" w:right="299" w:firstLine="640"/>
        <w:spacing w:after="0" w:line="260" w:lineRule="auto"/>
        <w:tabs>
          <w:tab w:leader="none" w:pos="130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45 days after the end of each of the first three fiscal quarters of each fiscal year of the Company (or, if earlier, 15 days after the date required to be filed with the SEC) (commencing with the fiscal quarter ending September 30, 2026),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8" w:name="page109"/>
    <w:bookmarkEnd w:id="108"/>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86" w:lineRule="exact"/>
        <w:rPr>
          <w:sz w:val="20"/>
          <w:szCs w:val="20"/>
          <w:color w:val="auto"/>
        </w:rPr>
      </w:pPr>
    </w:p>
    <w:p>
      <w:pPr>
        <w:jc w:val="both"/>
        <w:ind w:left="300" w:right="299" w:firstLine="640"/>
        <w:spacing w:after="0" w:line="241" w:lineRule="auto"/>
        <w:tabs>
          <w:tab w:leader="none" w:pos="130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ninety (90) days after the end of each fiscal year of each Joint Venture the results of operations of which are included in the consolidated financial statements of the Company, a copy of the annual audited report for such fiscal year for such Joint Venture, containing a combined or consolidated balance sheet of such Joint Venture as of the end of such fiscal year and the related combined or consolidated statements of income, stockholders’ or partners’ equity and cash flows (together with all footnotes thereto) of such Joint Venture for such fiscal year, setting forth in each case in comparative form the figures for the previous fiscal year, all in reasonable detail and reported on by independent public accountants of nationally recognized standing (without a “going concern” or like qualification or exception, and without any qualification or exception as to scope of audit) to the effect that such financial statements present fairly in all material respects the financial condition and the results of operations of such Joint Venture for such fiscal year on a combined or consolidated basis in accordance with GAAP and that the examination by such accountants in connection with such combined or consolidated financial statements has been made in accordance with generally accepted auditing standards;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financial statements required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for each Joint Venture the results of operations of which are included in the consolidated financial statements of the Company shall be in a format substantially similar to the financial statements being provided by the Company to its applicable joint venture partner with respect to such Joint Venture; and</w:t>
      </w:r>
    </w:p>
    <w:p>
      <w:pPr>
        <w:spacing w:after="0" w:line="191"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available and in any event within forty-five (45) days after the end of each of the first three (3) fiscal quarters of each fiscal year of each Joint Venture the results of operations of which are included in the consolidated financial statements of the Company, an unaudited combined or consolidated balance sheet of such Joint Venture as of the end of such fiscal quarter and the related unaudited combined or consolidated statements of income and cash flows of such Joint Venture for such fiscal quarter and the then elapsed portion of such fiscal year, setting forth in each case in comparative form the figures for the corresponding quarter and the corresponding portion of such Joint Venture’s previous fiscal year, all certified by the chief financial officer or treasurer of such Joint Venture as presenting fairly in all material respects the financial condition and results of operations of such Joint Venture on a combined or consolidated basis in accordance with GAAP, subject to normal year-end audit adjustments and the absence of footnotes;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financial statements required under this </w:t>
      </w:r>
      <w:r>
        <w:rPr>
          <w:rFonts w:ascii="Times New Roman" w:cs="Times New Roman" w:eastAsia="Times New Roman" w:hAnsi="Times New Roman"/>
          <w:sz w:val="19"/>
          <w:szCs w:val="19"/>
          <w:u w:val="single" w:color="auto"/>
          <w:color w:val="auto"/>
        </w:rPr>
        <w:t>clause</w:t>
      </w:r>
    </w:p>
    <w:p>
      <w:pPr>
        <w:spacing w:after="0" w:line="3" w:lineRule="exact"/>
        <w:rPr>
          <w:rFonts w:ascii="Times New Roman" w:cs="Times New Roman" w:eastAsia="Times New Roman" w:hAnsi="Times New Roman"/>
          <w:sz w:val="19"/>
          <w:szCs w:val="19"/>
          <w:color w:val="auto"/>
        </w:rPr>
      </w:pPr>
    </w:p>
    <w:p>
      <w:pPr>
        <w:jc w:val="both"/>
        <w:ind w:left="300" w:right="299" w:hanging="8"/>
        <w:spacing w:after="0" w:line="242" w:lineRule="auto"/>
        <w:tabs>
          <w:tab w:leader="none" w:pos="604" w:val="left"/>
        </w:tabs>
        <w:numPr>
          <w:ilvl w:val="0"/>
          <w:numId w:val="1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each Joint Venture the results of operations of which are included in the consolidated financial statements of the Company shall be in a format substantially similar to the financial statements being provided by the Company to its applicable joint venture partner with respect to such Joint Venture.</w:t>
      </w:r>
    </w:p>
    <w:p>
      <w:pPr>
        <w:spacing w:after="0" w:line="187"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the Company shall not be separately required to furnish such information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76" w:lineRule="exact"/>
        <w:rPr>
          <w:sz w:val="20"/>
          <w:szCs w:val="20"/>
          <w:color w:val="auto"/>
        </w:rPr>
      </w:pPr>
    </w:p>
    <w:p>
      <w:pPr>
        <w:ind w:left="940"/>
        <w:spacing w:after="0"/>
        <w:tabs>
          <w:tab w:leader="none" w:pos="1640" w:val="left"/>
          <w:tab w:leader="none" w:pos="474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Times New Roman" w:cs="Times New Roman" w:eastAsia="Times New Roman" w:hAnsi="Times New Roman"/>
          <w:sz w:val="20"/>
          <w:szCs w:val="20"/>
          <w:b w:val="1"/>
          <w:bCs w:val="1"/>
          <w:color w:val="auto"/>
        </w:rPr>
        <w:t xml:space="preserve">Certificates; Other Information </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Deliver to the Administrative Agent and each</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Lender, in form and detail satisfactory to the Administrative Agent and the Required Lenders:</w:t>
      </w:r>
    </w:p>
    <w:p>
      <w:pPr>
        <w:spacing w:after="0" w:line="194" w:lineRule="exact"/>
        <w:rPr>
          <w:sz w:val="20"/>
          <w:szCs w:val="20"/>
          <w:color w:val="auto"/>
        </w:rPr>
      </w:pPr>
    </w:p>
    <w:p>
      <w:pPr>
        <w:ind w:left="1300" w:hanging="360"/>
        <w:spacing w:after="0"/>
        <w:tabs>
          <w:tab w:leader="none" w:pos="130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w:t>
      </w:r>
    </w:p>
    <w:p>
      <w:pPr>
        <w:spacing w:after="0" w:line="21" w:lineRule="exact"/>
        <w:rPr>
          <w:rFonts w:ascii="Times New Roman" w:cs="Times New Roman" w:eastAsia="Times New Roman" w:hAnsi="Times New Roman"/>
          <w:sz w:val="20"/>
          <w:szCs w:val="20"/>
          <w:color w:val="auto"/>
        </w:rPr>
      </w:pPr>
    </w:p>
    <w:p>
      <w:pPr>
        <w:ind w:left="300" w:right="299" w:hanging="8"/>
        <w:spacing w:after="0" w:line="271" w:lineRule="auto"/>
        <w:tabs>
          <w:tab w:leader="none" w:pos="586" w:val="left"/>
        </w:tabs>
        <w:numPr>
          <w:ilvl w:val="0"/>
          <w:numId w:val="15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(commencing with the delivery of the financial statements for the fiscal quarter ending September 30, 2026), (x) a duly completed Compliance Certificate signed by the chief executive officer, chief financial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9" w:name="page110"/>
    <w:bookmarkEnd w:id="109"/>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officer, treasurer or controller of the Company (which delivery may, unless the Administrative Agent, or a Lender requests executed originals, be by electronic communication including fax or email and shall be deemed to be an original authentic counterpart thereof for all purposes) containing a listing of each Unrestricted Subsidiary designated as of the date thereof and (y) in the event that any Unrestricted Subsidiaries exist at such time, a summary statement, prepared in good faith by a Responsible Officer of the Company, reflecting adjustments necessary to eliminate the accounts of such Unrestricted Subsidiaries from such consolidated financial statements;</w:t>
      </w:r>
    </w:p>
    <w:p>
      <w:pPr>
        <w:spacing w:after="0" w:line="186" w:lineRule="exact"/>
        <w:rPr>
          <w:sz w:val="20"/>
          <w:szCs w:val="20"/>
          <w:color w:val="auto"/>
        </w:rPr>
      </w:pPr>
    </w:p>
    <w:p>
      <w:pPr>
        <w:jc w:val="both"/>
        <w:ind w:left="300" w:right="319" w:firstLine="640"/>
        <w:spacing w:after="0" w:line="249" w:lineRule="auto"/>
        <w:tabs>
          <w:tab w:leader="none" w:pos="130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79" w:lineRule="exact"/>
        <w:rPr>
          <w:rFonts w:ascii="Times New Roman" w:cs="Times New Roman" w:eastAsia="Times New Roman" w:hAnsi="Times New Roman"/>
          <w:sz w:val="20"/>
          <w:szCs w:val="20"/>
          <w:color w:val="auto"/>
        </w:rPr>
      </w:pPr>
    </w:p>
    <w:p>
      <w:pPr>
        <w:ind w:left="300" w:right="299" w:firstLine="640"/>
        <w:spacing w:after="0" w:line="249" w:lineRule="auto"/>
        <w:tabs>
          <w:tab w:leader="none" w:pos="130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Act and the Beneficial Ownership Regulation;</w:t>
      </w:r>
    </w:p>
    <w:p>
      <w:pPr>
        <w:spacing w:after="0" w:line="179" w:lineRule="exact"/>
        <w:rPr>
          <w:rFonts w:ascii="Times New Roman" w:cs="Times New Roman" w:eastAsia="Times New Roman" w:hAnsi="Times New Roman"/>
          <w:sz w:val="20"/>
          <w:szCs w:val="20"/>
          <w:color w:val="auto"/>
        </w:rPr>
      </w:pPr>
    </w:p>
    <w:p>
      <w:pPr>
        <w:ind w:left="300" w:right="299" w:firstLine="640"/>
        <w:spacing w:after="0" w:line="254" w:lineRule="auto"/>
        <w:tabs>
          <w:tab w:leader="none" w:pos="130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notification of any change in the information in a Beneficial Ownership Certification, if previously provided to a Lender, that would result in a change to the list of beneficial owners identified in such certification; and</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any Arranger may, but shall not be obligated to, make available to the Lenders and the L/C Issuer materials and/or information provided by or on behalf of such Borrower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0" w:name="page111"/>
    <w:bookmarkEnd w:id="110"/>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hereby agrees that so long as such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each Arranger, the L/C Issuer and the Lenders to treat such Borrower Materials as not containing any material non-public information with respect to the Borrowers or their respective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Promptly notify the Administrative Agent and each Lender:</w:t>
      </w:r>
    </w:p>
    <w:p>
      <w:pPr>
        <w:spacing w:after="0" w:line="220" w:lineRule="exact"/>
        <w:rPr>
          <w:sz w:val="20"/>
          <w:szCs w:val="20"/>
          <w:color w:val="auto"/>
        </w:rPr>
      </w:pPr>
    </w:p>
    <w:p>
      <w:pPr>
        <w:ind w:left="1300" w:hanging="360"/>
        <w:spacing w:after="0"/>
        <w:tabs>
          <w:tab w:leader="none" w:pos="130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jc w:val="both"/>
        <w:ind w:left="300" w:right="319" w:firstLine="640"/>
        <w:spacing w:after="0" w:line="245" w:lineRule="auto"/>
        <w:tabs>
          <w:tab w:leader="none" w:pos="130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(i) breach or non-performance of, or any default under, a Contractual Obligation of the Company or any Restricted Subsidiary; (ii) any dispute, litigation, investigation, proceeding or suspension between the Company or any Subsidiary and any Governmental Authority; or</w:t>
      </w:r>
    </w:p>
    <w:p>
      <w:pPr>
        <w:ind w:left="300" w:right="319" w:hanging="8"/>
        <w:spacing w:after="0" w:line="246" w:lineRule="auto"/>
        <w:tabs>
          <w:tab w:leader="none" w:pos="67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or any material development in, any litigation or proceeding affecting the Company or any Subsidiary, including pursuant to any applicable Environmental Laws;</w:t>
      </w:r>
    </w:p>
    <w:p>
      <w:pPr>
        <w:spacing w:after="0" w:line="181"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or any failure by any Loan Party or any Restricted Subsidiary to perform its obligations under a Canadian Pension Plan, in each case which has resulted or could reasonably be expected to result in a Material Adverse Effect; and</w:t>
      </w:r>
    </w:p>
    <w:p>
      <w:pPr>
        <w:spacing w:after="0" w:line="174"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change in the fiscal year of the Company or any Restricted Subsidiary, except to change the fiscal year of a Restricted Subsidiary to conform its fiscal year to that of the Company.</w:t>
      </w:r>
    </w:p>
    <w:p>
      <w:pPr>
        <w:spacing w:after="0" w:line="159"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81"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6.04 Payment of Obligations </w:t>
      </w:r>
      <w:r>
        <w:rPr>
          <w:rFonts w:ascii="Times New Roman" w:cs="Times New Roman" w:eastAsia="Times New Roman" w:hAnsi="Times New Roman"/>
          <w:sz w:val="20"/>
          <w:szCs w:val="20"/>
          <w:color w:val="auto"/>
        </w:rPr>
        <w:t>. The Company will, and will cause each of the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to, pay and discharge at or before maturity, all of its obligations and liabilities (including without limitation all tax liabilities and claims that could result in a statutory Lien) before the same shall become delinquent or in default, except where (a) the validity or amount thereof is being contested in good faith by appropriate proceedings, (b) the Company or such Restricted Subsidiary has set aside on its books adequate reserves with respect thereto in accordance with GAAP and (c) the failure to make payment pending such contest could not reasonably be expected to result in a Material Adverse Effect.</w:t>
      </w:r>
    </w:p>
    <w:p>
      <w:pPr>
        <w:spacing w:after="0" w:line="179"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6.05 Preservation of Existence, Etc </w:t>
      </w:r>
      <w:r>
        <w:rPr>
          <w:rFonts w:ascii="Times New Roman" w:cs="Times New Roman" w:eastAsia="Times New Roman" w:hAnsi="Times New Roman"/>
          <w:sz w:val="20"/>
          <w:szCs w:val="20"/>
          <w:color w:val="auto"/>
        </w:rPr>
        <w:t>. (a) Preserve, renew and maintain in full force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effect its legal existence and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(b) take all reasonable action to maintain all rights, privileges, permits, licenses and franchises necessary or desirable in the normal conduct of its business, except to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1" w:name="page112"/>
    <w:bookmarkEnd w:id="111"/>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0"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6.06 Maintenance of Properties </w:t>
      </w:r>
      <w:r>
        <w:rPr>
          <w:rFonts w:ascii="Times New Roman" w:cs="Times New Roman" w:eastAsia="Times New Roman" w:hAnsi="Times New Roman"/>
          <w:sz w:val="20"/>
          <w:szCs w:val="20"/>
          <w:color w:val="auto"/>
        </w:rPr>
        <w:t>. (a) Maintain, preserve and protect all of its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properties and equipment necessary in the operation of its 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180"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6.07 Maintenance of Insurance</w:t>
      </w:r>
      <w:r>
        <w:rPr>
          <w:rFonts w:ascii="Times New Roman" w:cs="Times New Roman" w:eastAsia="Times New Roman" w:hAnsi="Times New Roman"/>
          <w:sz w:val="20"/>
          <w:szCs w:val="20"/>
          <w:color w:val="auto"/>
        </w:rPr>
        <w:t>. Maintain with financially sound and reputable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not Affiliates of the 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8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6.08</w:t>
      </w:r>
      <w:r>
        <w:rPr>
          <w:sz w:val="20"/>
          <w:szCs w:val="20"/>
          <w:color w:val="auto"/>
        </w:rPr>
        <w:tab/>
      </w:r>
      <w:r>
        <w:rPr>
          <w:rFonts w:ascii="Times New Roman" w:cs="Times New Roman" w:eastAsia="Times New Roman" w:hAnsi="Times New Roman"/>
          <w:sz w:val="19"/>
          <w:szCs w:val="19"/>
          <w:b w:val="1"/>
          <w:bCs w:val="1"/>
          <w:color w:val="auto"/>
        </w:rPr>
        <w:t>Compliance with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6" w:lineRule="auto"/>
        <w:tabs>
          <w:tab w:leader="none" w:pos="130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operations and keep and maintain its property in compliance in all material respects with all Environmental Laws, except to the extent that the failure to comply therewith could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0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of the Administrative Agent, submit to the Administrative Agent, at the Company’s sole cost and expense and at reasonable intervals, a report providing an update of the status any environmental, health or safety compliance obligation, remedial obligation or liability, that could, individually or in the aggregate, result in a Material Adverse Effect.</w:t>
      </w:r>
    </w:p>
    <w:p>
      <w:pPr>
        <w:spacing w:after="0" w:line="176"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6.09 Books and Records</w:t>
      </w:r>
      <w:r>
        <w:rPr>
          <w:rFonts w:ascii="Times New Roman" w:cs="Times New Roman" w:eastAsia="Times New Roman" w:hAnsi="Times New Roman"/>
          <w:sz w:val="20"/>
          <w:szCs w:val="20"/>
          <w:color w:val="auto"/>
        </w:rPr>
        <w:t>. Maintain proper books of record and account, in which full,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correct entries in conformity with GAAP consistently applied shall be made of all financial transactions and matters involving the assets and business of the Company or such Subsidiary, as the case may be.</w:t>
      </w:r>
    </w:p>
    <w:p>
      <w:pPr>
        <w:spacing w:after="0" w:line="200" w:lineRule="exact"/>
        <w:rPr>
          <w:sz w:val="20"/>
          <w:szCs w:val="20"/>
          <w:color w:val="auto"/>
        </w:rPr>
      </w:pPr>
    </w:p>
    <w:p>
      <w:pPr>
        <w:spacing w:after="0" w:line="21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6.10 Inspection Rights </w:t>
      </w:r>
      <w:r>
        <w:rPr>
          <w:rFonts w:ascii="Times New Roman" w:cs="Times New Roman" w:eastAsia="Times New Roman" w:hAnsi="Times New Roman"/>
          <w:sz w:val="20"/>
          <w:szCs w:val="20"/>
          <w:color w:val="auto"/>
        </w:rPr>
        <w:t>. Permit representatives and independent contractors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and as often as may be reasonably desired, upon reasonable advance notice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an Event of Default exists the Administrative Agent or any Lender (or any of their respective representatives or independent contractors) may do any of the foregoing at the expense of the Company without advance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 long as no Event of Default has occurred and is continuing, the Company shall not be required to reimburse the Administrative Agent or any Lender under this Section for visits, inspections or examinations by representatives of the Administrative Agent or such Lender more frequently than once every twelve-month period.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2" w:name="page113"/>
    <w:bookmarkEnd w:id="112"/>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6.11 Use of Proceeds </w:t>
      </w:r>
      <w:r>
        <w:rPr>
          <w:rFonts w:ascii="Times New Roman" w:cs="Times New Roman" w:eastAsia="Times New Roman" w:hAnsi="Times New Roman"/>
          <w:sz w:val="20"/>
          <w:szCs w:val="20"/>
          <w:color w:val="auto"/>
        </w:rPr>
        <w:t>. Use the proceeds of the Credit Extensions (i) for working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 expenditures, Permitted Acquisitions and other general corporate purposes not in contravention of any Law or of any Loan Document and (ii) to refinance the Existing Credit Agreement and other Indebtedness existing on the Closing Date. No Borrower will request any Borrowing or Letter of Credit, and no Borrower shall use, and the Company shall procure that its Subsidiaries and its or their respective directors, officers, employees and agents shall not use, the proceeds of any Borrowing or Letter of Credit</w:t>
      </w:r>
    </w:p>
    <w:p>
      <w:pPr>
        <w:jc w:val="both"/>
        <w:ind w:left="300" w:right="299" w:hanging="8"/>
        <w:spacing w:after="0"/>
        <w:tabs>
          <w:tab w:leader="none" w:pos="57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an offer, payment, promise to pay, or authorization of the payment or giving of money, or anything else of value, to any Person in violation of the United States Foreign Corrupt Practices Act of 1977, the UK Bribery Act 2010, or any other similar anti-corruption legislation in other jurisdictions, (ii) for the purpose of funding, financing or facilitating any activities, business or transaction of or with any individual or entity that is, at the time of such funding, financing or facilitating, (1) the subject or target of any Sanctions, (2) included on OFAC’s List of Specially Designated Nationals, HMT’s Consolidated List of Financial Sanctions Targets and the Investment Ban List, or any similar list enforced by any other relevant sanctions authority or (3) located, organized or resident in a Designated Jurisdiction or (iii) in any manner that would result in the violation of any Sanctions applicable to any party hereto.</w:t>
      </w:r>
    </w:p>
    <w:p>
      <w:pPr>
        <w:spacing w:after="0" w:line="185"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6.12 Approvals and Authorizations </w:t>
      </w:r>
      <w:r>
        <w:rPr>
          <w:rFonts w:ascii="Times New Roman" w:cs="Times New Roman" w:eastAsia="Times New Roman" w:hAnsi="Times New Roman"/>
          <w:sz w:val="20"/>
          <w:szCs w:val="20"/>
          <w:color w:val="auto"/>
        </w:rPr>
        <w:t>. Maintain all authorizations, consents, approvals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8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color w:val="auto"/>
        </w:rPr>
        <w:t>Additional Subsidiary Guarantors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5" w:lineRule="auto"/>
        <w:tabs>
          <w:tab w:leader="none" w:pos="1308"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(x) any Person (other than an Unrestricted Subsidiary or an Excluded Subsidiary) becomes a Material Subsidiary or (y) any Unrestricted Subsidiary (other than an Excluded Subsidiary) that is a Material Subsidiary is re-designated as a Restricted Subsidiary, promptly notify the Administrative Agent thereof and as soon as practicable but in any event within 30 days after such Person becomes a Material Subsidiary or such re-designation, as the case may be, (or, in each case of the foregoing clauses (x) and (y), such longer period to which the Administrative Agent may agree in its sole discretion), cause such Material Subsidiary to (i) become a Subsidiary Guarantor by executing and delivering to the Administrative Agent a joinder to the Guaranty and/or such other guaranty document as the Administrative Agent shall deem appropriate for such purpose, (ii) deliver to the Administrative Agent such opinions, documents and certificates referred to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as may be reasonably requested by the Administrative Agent, (iii) deliver to the Administrative Agent such updated Schedules to the Loan Documents as requested by the Administrative Agent with respect to such Person, and (iv) deliver to the Administrative Agent such other documents as may be reasonably requested by the Administrative Agent, all in form, content and scope reasonably satisfactory to the Administrative Agent.</w:t>
      </w:r>
    </w:p>
    <w:p>
      <w:pPr>
        <w:spacing w:after="0" w:line="179" w:lineRule="exact"/>
        <w:rPr>
          <w:rFonts w:ascii="Times New Roman" w:cs="Times New Roman" w:eastAsia="Times New Roman" w:hAnsi="Times New Roman"/>
          <w:sz w:val="19"/>
          <w:szCs w:val="19"/>
          <w:color w:val="auto"/>
        </w:rPr>
      </w:pPr>
    </w:p>
    <w:p>
      <w:pPr>
        <w:jc w:val="both"/>
        <w:ind w:left="300" w:right="299" w:firstLine="640"/>
        <w:spacing w:after="0" w:line="241" w:lineRule="auto"/>
        <w:tabs>
          <w:tab w:leader="none" w:pos="130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within 30 days (or such longer period to which the Administrative Agent may agree in its sole discretion) after each delivery of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cause one or more Subsidiaries (other than Excluded Subsidiaries) to become Subsidiary Guarantors and take all other actions described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as if such Subsidiaries were Material Subsidiaries, to the extent necessary to result in the Consolidated EBITDA and Consolidated Total Assets of the Loan Parties on a consolidated basis to represent no less than 90% of the Consolidated EBITDA and Consolidated Total Assets of the Company and its Restricted Subsidiaries (excluding the Consolidated EBITDA and Consolidated Total Assets attributable to Excluded Subsidiaries) as of the end of the Measurement Period most recently ended for which financial information is available (calculated on a pro forma basis in a manner consistent with the adjustments described in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 xml:space="preserve"> and in a manner consistent with the definition of “Consolidated EBITDA” and “Consolidated Total Assets” but appropriately adjusted to apply to the particular group of Persons in question).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3" w:name="page114"/>
    <w:bookmarkEnd w:id="113"/>
    <w:p>
      <w:pPr>
        <w:jc w:val="both"/>
        <w:ind w:left="300" w:right="299" w:firstLine="640"/>
        <w:spacing w:after="0" w:line="249" w:lineRule="auto"/>
        <w:tabs>
          <w:tab w:leader="none" w:pos="130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to the contrary, (i) no Excluded Subsidiary shall be required to be a Subsidiary Guarantor and (ii) no Foreign Holding Company or Foreign Subsidiary shall be required to guarantee the Obligations of the Company or any Designated Borrower that is a U.S. Person.</w:t>
      </w:r>
    </w:p>
    <w:p>
      <w:pPr>
        <w:spacing w:after="0" w:line="17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6.14 Anti-Corruption Laws; Sanctions </w:t>
      </w:r>
      <w:r>
        <w:rPr>
          <w:rFonts w:ascii="Times New Roman" w:cs="Times New Roman" w:eastAsia="Times New Roman" w:hAnsi="Times New Roman"/>
          <w:sz w:val="20"/>
          <w:szCs w:val="20"/>
          <w:color w:val="auto"/>
        </w:rPr>
        <w:t>. Conduct its businesses in compliance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respects with the United States Foreign Corrupt Practices Act of 1977, the UK Bribery Act 2010, and other applicable similar anti-corruption legislation in other jurisdictions and with all applicable Sanctions and maintain policies and procedures designed to promote and achieve compliance with such laws and Sanctions.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So long as any Lender shall have any Commitment hereunder, any Loan or other Obligation hereunder shall remain unpaid or unsatisfied, or any Letter of Credit shall remain outstanding, the Company shall not, nor shall it permit any Restricted Subsidiary to, directly or indirectly:</w:t>
      </w:r>
    </w:p>
    <w:p>
      <w:pPr>
        <w:spacing w:after="0" w:line="17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7.01 Liens</w:t>
      </w:r>
      <w:r>
        <w:rPr>
          <w:rFonts w:ascii="Times New Roman" w:cs="Times New Roman" w:eastAsia="Times New Roman" w:hAnsi="Times New Roman"/>
          <w:sz w:val="20"/>
          <w:szCs w:val="20"/>
          <w:color w:val="auto"/>
        </w:rPr>
        <w:t>. Create, incur, assume or suffer to exist any Lien upon any of its property,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revenues, whether now owned or hereafter acquired, other than the following:</w:t>
      </w:r>
    </w:p>
    <w:p>
      <w:pPr>
        <w:spacing w:after="0" w:line="156" w:lineRule="exact"/>
        <w:rPr>
          <w:sz w:val="20"/>
          <w:szCs w:val="20"/>
          <w:color w:val="auto"/>
        </w:rPr>
      </w:pPr>
    </w:p>
    <w:p>
      <w:pPr>
        <w:ind w:left="1300" w:hanging="360"/>
        <w:spacing w:after="0"/>
        <w:tabs>
          <w:tab w:leader="none" w:pos="13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0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governmental assessments, contributions to Canadian Pension Plans or similar governmental charges not yet due or which are being contested in good faith and by appropriate proceedings diligently conducted, if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20"/>
          <w:szCs w:val="20"/>
          <w:color w:val="auto"/>
        </w:rPr>
      </w:pPr>
    </w:p>
    <w:p>
      <w:pPr>
        <w:ind w:left="300" w:right="299" w:firstLine="640"/>
        <w:spacing w:after="0" w:line="246" w:lineRule="auto"/>
        <w:tabs>
          <w:tab w:leader="none" w:pos="130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and Liens of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84" w:lineRule="exact"/>
        <w:rPr>
          <w:rFonts w:ascii="Times New Roman" w:cs="Times New Roman" w:eastAsia="Times New Roman" w:hAnsi="Times New Roman"/>
          <w:sz w:val="20"/>
          <w:szCs w:val="20"/>
          <w:color w:val="auto"/>
        </w:rPr>
      </w:pPr>
    </w:p>
    <w:p>
      <w:pPr>
        <w:ind w:left="300" w:right="379" w:firstLine="640"/>
        <w:spacing w:after="0" w:line="269" w:lineRule="auto"/>
        <w:tabs>
          <w:tab w:leader="none" w:pos="130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or regulations;</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49" w:lineRule="auto"/>
        <w:tabs>
          <w:tab w:leader="none" w:pos="130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customs bonds, performance bonds and other obligations of a like nature (including, without limitation, Liens in favor of the issuer of such bonds) incurred in the ordinary course of business;</w:t>
      </w:r>
    </w:p>
    <w:p>
      <w:pPr>
        <w:spacing w:after="0" w:line="179" w:lineRule="exact"/>
        <w:rPr>
          <w:rFonts w:ascii="Times New Roman" w:cs="Times New Roman" w:eastAsia="Times New Roman" w:hAnsi="Times New Roman"/>
          <w:sz w:val="20"/>
          <w:szCs w:val="20"/>
          <w:color w:val="auto"/>
        </w:rPr>
      </w:pPr>
    </w:p>
    <w:p>
      <w:pPr>
        <w:jc w:val="both"/>
        <w:ind w:left="300" w:right="319" w:firstLine="640"/>
        <w:spacing w:after="0" w:line="274" w:lineRule="auto"/>
        <w:tabs>
          <w:tab w:leader="none" w:pos="130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rights-of-way, restrictions and other similar encumbrances affecting real property which, in the aggregate, are not substantial in amount of monetary obligations, and which do not in any case materially detract from the value of the property subject thereto or materially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4" w:name="page115"/>
    <w:bookmarkEnd w:id="114"/>
    <w:p>
      <w:pPr>
        <w:ind w:left="300" w:right="319"/>
        <w:spacing w:after="0" w:line="269" w:lineRule="auto"/>
        <w:rPr>
          <w:sz w:val="20"/>
          <w:szCs w:val="20"/>
          <w:color w:val="auto"/>
        </w:rPr>
      </w:pPr>
      <w:r>
        <w:rPr>
          <w:rFonts w:ascii="Times New Roman" w:cs="Times New Roman" w:eastAsia="Times New Roman" w:hAnsi="Times New Roman"/>
          <w:sz w:val="20"/>
          <w:szCs w:val="20"/>
          <w:color w:val="auto"/>
        </w:rPr>
        <w:t>interfere with the ordinary conduct of the business of the Company and the Restricted Subsidiaries taken as a whole;</w:t>
      </w:r>
    </w:p>
    <w:p>
      <w:pPr>
        <w:spacing w:after="0" w:line="159" w:lineRule="exact"/>
        <w:rPr>
          <w:sz w:val="20"/>
          <w:szCs w:val="20"/>
          <w:color w:val="auto"/>
        </w:rPr>
      </w:pPr>
    </w:p>
    <w:p>
      <w:pPr>
        <w:jc w:val="both"/>
        <w:ind w:left="300" w:right="319" w:firstLine="640"/>
        <w:spacing w:after="0" w:line="249"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and attachment liens not giving rise to an Event of Default under </w:t>
      </w:r>
      <w:r>
        <w:rPr>
          <w:rFonts w:ascii="Times New Roman" w:cs="Times New Roman" w:eastAsia="Times New Roman" w:hAnsi="Times New Roman"/>
          <w:sz w:val="20"/>
          <w:szCs w:val="20"/>
          <w:u w:val="single" w:color="auto"/>
          <w:color w:val="auto"/>
        </w:rPr>
        <w:t>Section 8.01(g)</w:t>
      </w:r>
      <w:r>
        <w:rPr>
          <w:rFonts w:ascii="Times New Roman" w:cs="Times New Roman" w:eastAsia="Times New Roman" w:hAnsi="Times New Roman"/>
          <w:sz w:val="20"/>
          <w:szCs w:val="20"/>
          <w:color w:val="auto"/>
        </w:rPr>
        <w:t xml:space="preserve"> or Liens created by or existing from any litigation or legal proceeding that are currently being contested in good faith by appropriate proceedings and with respect to which adequate reserves are being maintained in accordance with GAAP;</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(ii) the amount of the Indebtedness secured thereby does not exceed the cost of acquiring, constructing or improving the fixed or capital asset acquired with such Indebtedness;</w:t>
      </w:r>
    </w:p>
    <w:p>
      <w:pPr>
        <w:spacing w:after="0" w:line="179"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liens with respect to collection of deposits in the ordinary course of business;</w:t>
      </w:r>
    </w:p>
    <w:p>
      <w:pPr>
        <w:spacing w:after="0" w:line="215"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sublessor, or licensor under any operating lease or license agreement entered into in the ordinary course of business and not interfering in any material respect with the rights, benefits or privileges of such lease or licensing agreement, as the case may be;</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any UCC or PPSA financing statement or foreign equivalent solely as a precautionary measure or required in the case of a Canadian province in connection with any lease transaction otherwise permitted hereunder in which the Company or any Subsidiary is the lessee;</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and exportation of goods in the ordinary course of business;</w:t>
      </w:r>
    </w:p>
    <w:p>
      <w:pPr>
        <w:spacing w:after="0" w:line="174" w:lineRule="exact"/>
        <w:rPr>
          <w:rFonts w:ascii="Times New Roman" w:cs="Times New Roman" w:eastAsia="Times New Roman" w:hAnsi="Times New Roman"/>
          <w:sz w:val="20"/>
          <w:szCs w:val="20"/>
          <w:color w:val="auto"/>
        </w:rPr>
      </w:pPr>
    </w:p>
    <w:p>
      <w:pPr>
        <w:ind w:left="300" w:right="339" w:firstLine="640"/>
        <w:spacing w:after="0" w:line="269"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deposited into escrow accounts to secure indemnification obligations with respect to any asset sales permitted by </w:t>
      </w:r>
      <w:r>
        <w:rPr>
          <w:rFonts w:ascii="Times New Roman" w:cs="Times New Roman" w:eastAsia="Times New Roman" w:hAnsi="Times New Roman"/>
          <w:sz w:val="20"/>
          <w:szCs w:val="20"/>
          <w:u w:val="single" w:color="auto"/>
          <w:color w:val="auto"/>
        </w:rPr>
        <w:t>Section 7.05(h)</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00" w:right="359" w:firstLine="640"/>
        <w:spacing w:after="0" w:line="269"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assets of Subsidiaries of the Company in favor of the Company or any Designated Borrower, as the case may be, securing Indebtedness permitted under </w:t>
      </w:r>
      <w:r>
        <w:rPr>
          <w:rFonts w:ascii="Times New Roman" w:cs="Times New Roman" w:eastAsia="Times New Roman" w:hAnsi="Times New Roman"/>
          <w:sz w:val="20"/>
          <w:szCs w:val="20"/>
          <w:u w:val="single" w:color="auto"/>
          <w:color w:val="auto"/>
        </w:rPr>
        <w:t>Section 7.03(i)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(i) existing on any asset of any Person at the time such Person becomes such a Restricted Subsidiary of the Company, (ii) existing on any asset of any Person at the time such Person is merged with or into the Company or any such Restricted Subsidiary of the Company or (iii) existing on any asset prior to the acquisition thereof by the Company or any such Restricted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was not created in the contemplation of any of the foregoing and any such Lien secures only those obligations which it secures on the date that such Person becomes such a Restricted Subsidiary or the date of such merger or the date of such acquisition; and</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on the property or assets of the Company or such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principal amount of the Indebtedness secured by such Liens shall not exceed $100,000,000 in the aggregate at any time outstanding and (ii) no such Liens shall apply to any accounts receivable or inventory of the Company or the Restricted Subsidiaries.</w:t>
      </w:r>
    </w:p>
    <w:p>
      <w:pPr>
        <w:spacing w:after="0" w:line="180"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9"/>
          <w:szCs w:val="19"/>
          <w:color w:val="auto"/>
        </w:rPr>
        <w:t>For purposes of this Section, the entry by the Company or any such Restricted Subsidiary into a true lease or true bailment arrangement which contains a provision purporting to grant a lien in the event that such arrangement is determined not to constitute a true lease or true bailment and the filing of a precautionary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5" w:name="page116"/>
    <w:bookmarkEnd w:id="115"/>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UCC or PPSA financing statement in connection therewith shall not constitute the creation, incurrence, assumption or sufferance of a Lien unless, under applicable Law, such arrangement is determined not to constitute a true lease or true bailment arrangement and a security interest or other interest in or lien on property or assets of the Company or any such Restricted Subsidiary has in fact been granted or deemed to have been granted.</w:t>
      </w:r>
    </w:p>
    <w:p>
      <w:pPr>
        <w:spacing w:after="0" w:line="73"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Times New Roman" w:cs="Times New Roman" w:eastAsia="Times New Roman" w:hAnsi="Times New Roman"/>
          <w:sz w:val="20"/>
          <w:szCs w:val="20"/>
          <w:b w:val="1"/>
          <w:bCs w:val="1"/>
          <w:color w:val="auto"/>
        </w:rPr>
        <w:t>Investments</w:t>
      </w:r>
      <w:r>
        <w:rPr>
          <w:rFonts w:ascii="Times New Roman" w:cs="Times New Roman" w:eastAsia="Times New Roman" w:hAnsi="Times New Roman"/>
          <w:sz w:val="20"/>
          <w:szCs w:val="20"/>
          <w:color w:val="auto"/>
        </w:rPr>
        <w:t>. Make any Investments, except:</w:t>
      </w:r>
    </w:p>
    <w:p>
      <w:pPr>
        <w:spacing w:after="0" w:line="220" w:lineRule="exact"/>
        <w:rPr>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held by the Company or such Restricted Subsidiary in the form of cash and Cash</w:t>
      </w:r>
    </w:p>
    <w:p>
      <w:pPr>
        <w:spacing w:after="0" w:line="33"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Equivalents;</w:t>
      </w:r>
    </w:p>
    <w:p>
      <w:pPr>
        <w:spacing w:after="0" w:line="193" w:lineRule="exact"/>
        <w:rPr>
          <w:rFonts w:ascii="Times New Roman" w:cs="Times New Roman" w:eastAsia="Times New Roman" w:hAnsi="Times New Roman"/>
          <w:sz w:val="19"/>
          <w:szCs w:val="19"/>
          <w:color w:val="auto"/>
        </w:rPr>
      </w:pPr>
    </w:p>
    <w:p>
      <w:pPr>
        <w:ind w:left="300" w:right="339" w:firstLine="640"/>
        <w:spacing w:after="0" w:line="269" w:lineRule="auto"/>
        <w:tabs>
          <w:tab w:leader="none" w:pos="130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officers, directors and employees of the Company or any Subsidiary Guarantor in the ordinary course of business for travel, entertainment, relocation and related expenses;</w:t>
      </w:r>
    </w:p>
    <w:p>
      <w:pPr>
        <w:spacing w:after="0" w:line="159"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Subsidiary Guarantors (and, to the extent such Investments constitute Indebtedness permitted under </w:t>
      </w:r>
      <w:r>
        <w:rPr>
          <w:rFonts w:ascii="Times New Roman" w:cs="Times New Roman" w:eastAsia="Times New Roman" w:hAnsi="Times New Roman"/>
          <w:sz w:val="20"/>
          <w:szCs w:val="20"/>
          <w:u w:val="single" w:color="auto"/>
          <w:color w:val="auto"/>
        </w:rPr>
        <w:t>Section 7.03(i)</w:t>
      </w:r>
      <w:r>
        <w:rPr>
          <w:rFonts w:ascii="Times New Roman" w:cs="Times New Roman" w:eastAsia="Times New Roman" w:hAnsi="Times New Roman"/>
          <w:sz w:val="20"/>
          <w:szCs w:val="20"/>
          <w:color w:val="auto"/>
        </w:rPr>
        <w:t>, in other Restricted Subsidiaries) and in repurchases of the capital stock of the Company to the extent otherwise permitted hereunder;</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Permitted Acquisitions;</w:t>
      </w:r>
    </w:p>
    <w:p>
      <w:pPr>
        <w:spacing w:after="0" w:line="215"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permitted under </w:t>
      </w:r>
      <w:r>
        <w:rPr>
          <w:rFonts w:ascii="Times New Roman" w:cs="Times New Roman" w:eastAsia="Times New Roman" w:hAnsi="Times New Roman"/>
          <w:sz w:val="20"/>
          <w:szCs w:val="20"/>
          <w:u w:val="single" w:color="auto"/>
          <w:color w:val="auto"/>
        </w:rPr>
        <w:t>Sections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Sigler Equity Acquisitions;</w:t>
      </w:r>
    </w:p>
    <w:p>
      <w:pPr>
        <w:spacing w:after="0" w:line="215"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acquired in a Permitted Acquisition; and</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Investment (including an Acquisition permitted by </w:t>
      </w:r>
      <w:r>
        <w:rPr>
          <w:rFonts w:ascii="Times New Roman" w:cs="Times New Roman" w:eastAsia="Times New Roman" w:hAnsi="Times New Roman"/>
          <w:sz w:val="20"/>
          <w:szCs w:val="20"/>
          <w:u w:val="single" w:color="auto"/>
          <w:color w:val="auto"/>
        </w:rPr>
        <w:t>Section 7.02(e)</w:t>
      </w:r>
      <w:r>
        <w:rPr>
          <w:rFonts w:ascii="Times New Roman" w:cs="Times New Roman" w:eastAsia="Times New Roman" w:hAnsi="Times New Roman"/>
          <w:sz w:val="20"/>
          <w:szCs w:val="20"/>
          <w:color w:val="auto"/>
        </w:rPr>
        <w:t xml:space="preserve">) so long as (i) both before and after giving effect to such Investment no Event of Default shall have occurred or be continuing and (ii) after giving pro forma effect to such Investment, the Company’s Consolidated Leverage Ratio is less than or equal to 3.50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Consolidated Leverage Ratio at such time is greater than 3.00 to 1.00, the Company or any Restricted Subsidiary may make Investments funded solely from the proceeds of issuances of Equity Interests after the Closing Date so long as such Investments are funded from such proceeds within six (6) months from the date of such issuance.</w:t>
      </w:r>
    </w:p>
    <w:p>
      <w:pPr>
        <w:spacing w:after="0" w:line="182" w:lineRule="exact"/>
        <w:rPr>
          <w:sz w:val="20"/>
          <w:szCs w:val="20"/>
          <w:color w:val="auto"/>
        </w:rPr>
      </w:pPr>
    </w:p>
    <w:p>
      <w:pPr>
        <w:jc w:val="center"/>
        <w:ind w:right="19"/>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7.03</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incur, assume or suffer to exist any Indebtedness, except:</w:t>
      </w:r>
    </w:p>
    <w:p>
      <w:pPr>
        <w:spacing w:after="0" w:line="220" w:lineRule="exact"/>
        <w:rPr>
          <w:sz w:val="20"/>
          <w:szCs w:val="20"/>
          <w:color w:val="auto"/>
        </w:rPr>
      </w:pPr>
    </w:p>
    <w:p>
      <w:pPr>
        <w:ind w:left="1300" w:hanging="360"/>
        <w:spacing w:after="0"/>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5" w:lineRule="exact"/>
        <w:rPr>
          <w:rFonts w:ascii="Times New Roman" w:cs="Times New Roman" w:eastAsia="Times New Roman" w:hAnsi="Times New Roman"/>
          <w:sz w:val="20"/>
          <w:szCs w:val="20"/>
          <w:color w:val="auto"/>
        </w:rPr>
      </w:pPr>
    </w:p>
    <w:p>
      <w:pPr>
        <w:jc w:val="both"/>
        <w:ind w:left="300" w:right="319" w:firstLine="640"/>
        <w:spacing w:after="0" w:line="245" w:lineRule="auto"/>
        <w:tabs>
          <w:tab w:leader="none" w:pos="130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84"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0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Guarantees of the Company or any Loan Party in respect of Indebtedness otherwise permitted hereunder of the Company or any other Loan Party and (ii) Guarantees of any Restricted Subsidiary that is not a Loan Party in respect of Indebtedness otherwise permitted hereunder of any other Restricted Subsidiary that is not a Loan Party;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6" w:name="page117"/>
    <w:bookmarkEnd w:id="116"/>
    <w:p>
      <w:pPr>
        <w:jc w:val="both"/>
        <w:ind w:left="300" w:right="299" w:firstLine="640"/>
        <w:spacing w:after="0" w:line="249" w:lineRule="auto"/>
        <w:tabs>
          <w:tab w:leader="none" w:pos="130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obligations are (or were) entered into by such Person in the ordinary course of business for the purpose of mitigating risks, and not for purposes of speculation or taking a “market view”;</w:t>
      </w:r>
    </w:p>
    <w:p>
      <w:pPr>
        <w:spacing w:after="0" w:line="179" w:lineRule="exact"/>
        <w:rPr>
          <w:rFonts w:ascii="Times New Roman" w:cs="Times New Roman" w:eastAsia="Times New Roman" w:hAnsi="Times New Roman"/>
          <w:sz w:val="20"/>
          <w:szCs w:val="20"/>
          <w:color w:val="auto"/>
        </w:rPr>
      </w:pPr>
    </w:p>
    <w:p>
      <w:pPr>
        <w:ind w:left="300" w:right="299" w:firstLine="640"/>
        <w:spacing w:after="0" w:line="256" w:lineRule="auto"/>
        <w:tabs>
          <w:tab w:leader="none" w:pos="1308"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Company or any Restricted Subsidiary incurred to finance the acquisition, construction or improvement of any fixed or capital assets, including finance leases, Synthetic Lease Obligations and purchase money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principal amount of Indebtedness permitted by this </w:t>
      </w:r>
      <w:r>
        <w:rPr>
          <w:rFonts w:ascii="Times New Roman" w:cs="Times New Roman" w:eastAsia="Times New Roman" w:hAnsi="Times New Roman"/>
          <w:sz w:val="19"/>
          <w:szCs w:val="19"/>
          <w:u w:val="single" w:color="auto"/>
          <w:color w:val="auto"/>
        </w:rPr>
        <w:t>clause</w:t>
      </w:r>
    </w:p>
    <w:p>
      <w:pPr>
        <w:jc w:val="both"/>
        <w:ind w:left="300" w:right="319" w:hanging="8"/>
        <w:spacing w:after="0" w:line="242" w:lineRule="auto"/>
        <w:tabs>
          <w:tab w:leader="none" w:pos="583" w:val="left"/>
        </w:tabs>
        <w:numPr>
          <w:ilvl w:val="0"/>
          <w:numId w:val="1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not exceed $100,000,000 in the aggregate at any time outstanding and (ii) such Indebtedness is incurred prior to or within ninety (90) days after such acquisition or the completion of such construction or improvement;</w:t>
      </w:r>
    </w:p>
    <w:p>
      <w:pPr>
        <w:spacing w:after="0" w:line="186" w:lineRule="exact"/>
        <w:rPr>
          <w:rFonts w:ascii="Times New Roman" w:cs="Times New Roman" w:eastAsia="Times New Roman" w:hAnsi="Times New Roman"/>
          <w:sz w:val="20"/>
          <w:szCs w:val="20"/>
          <w:u w:val="single" w:color="auto"/>
          <w:color w:val="auto"/>
        </w:rPr>
      </w:pPr>
    </w:p>
    <w:p>
      <w:pPr>
        <w:ind w:left="300" w:right="319" w:firstLine="640"/>
        <w:spacing w:after="0" w:line="269"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be subordinated to the Guaranteed Obligations in a manner reasonably satisfactory to the Administrative Agent;</w:t>
      </w:r>
    </w:p>
    <w:p>
      <w:pPr>
        <w:spacing w:after="0" w:line="159"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Private Placement Debt or other Indebtedness incurred after the date hereof in an aggregate principal amount not to exceed $300,000,000 at any time outstanding;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 Indebtedness may be incurred under this clause (h) if any negative covenants applicable to such Indebtedness are in conflict with or are more restrictive than those contained herein;</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Company or any Designated Borrower owing to any Restricted Subsidiary, (ii) any Subsidiary Guarantor owing to the Company or any Designated Borrower or any other Subsidiary Guarantor or (iii) any other Restricted Subsidiary owing to the Company or any Designated Borrower or any other Subsidiary Guarantor to the extent that such Indebtedness is permitted under </w:t>
      </w:r>
      <w:r>
        <w:rPr>
          <w:rFonts w:ascii="Times New Roman" w:cs="Times New Roman" w:eastAsia="Times New Roman" w:hAnsi="Times New Roman"/>
          <w:sz w:val="20"/>
          <w:szCs w:val="20"/>
          <w:u w:val="single" w:color="auto"/>
          <w:color w:val="auto"/>
        </w:rPr>
        <w:t>Section 7.02(i)</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Borrower and/or any Restricted Subsidiary (i)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 business and (ii) in respect of letters of credit, bank guaranties, surety bonds, performance bonds or similar instruments to support any of the foregoing items;</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permitted hereunder, any acquisition or other Investment permitted hereunder or consummated prior to the Closing Date or any other purchase of assets or Voting Stock, and Indebtedness arising from guaranties, letters of credit, bank guaranties, surety bonds, performance bonds or similar instruments securing the performance of any Borrower or any Restricted Subsidiary pursuant to any such agreement;</w:t>
      </w:r>
    </w:p>
    <w:p>
      <w:pPr>
        <w:spacing w:after="0" w:line="189"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Borrower and/or any Restricted Subsidiary in respect of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7" w:name="page118"/>
    <w:bookmarkEnd w:id="117"/>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services, including Indebtedness arising from the financing by a bank or other financial institution of a check, draft or similar instrument drawn against insufficient funds in the ordinary course of business), employee credit card programs, cash pooling services, foreign exchange and currency management services and any arrangements or services similar to any of the foregoing and/or otherwise in connection with cash management and deposit accounts, including Additional Obligations and incentive, supplier finance or similar programs;</w:t>
      </w:r>
    </w:p>
    <w:p>
      <w:pPr>
        <w:spacing w:after="0" w:line="184" w:lineRule="exact"/>
        <w:rPr>
          <w:sz w:val="20"/>
          <w:szCs w:val="20"/>
          <w:color w:val="auto"/>
        </w:rPr>
      </w:pPr>
    </w:p>
    <w:p>
      <w:pPr>
        <w:jc w:val="both"/>
        <w:ind w:left="300" w:right="299" w:firstLine="640"/>
        <w:spacing w:after="0" w:line="246" w:lineRule="auto"/>
        <w:tabs>
          <w:tab w:leader="none" w:pos="13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Restricted Subsidiary or Indebtedness assumed in connection with an acquisition or other Investment permitted hereunder after the Closing Date in an aggregate principal amount not to exceed $150,000,000;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(A) existed at the time such Person became a Restricted Subsidiary or the assets subject to such Indebtedness were acquired and (B) was not created or incurred in anticipation thereof;</w:t>
      </w:r>
    </w:p>
    <w:p>
      <w:pPr>
        <w:spacing w:after="0" w:line="184" w:lineRule="exact"/>
        <w:rPr>
          <w:rFonts w:ascii="Times New Roman" w:cs="Times New Roman" w:eastAsia="Times New Roman" w:hAnsi="Times New Roman"/>
          <w:sz w:val="20"/>
          <w:szCs w:val="20"/>
          <w:color w:val="auto"/>
        </w:rPr>
      </w:pPr>
    </w:p>
    <w:p>
      <w:pPr>
        <w:ind w:left="300" w:right="359" w:firstLine="640"/>
        <w:spacing w:after="0" w:line="269" w:lineRule="auto"/>
        <w:tabs>
          <w:tab w:leader="none" w:pos="13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connection with a sale-leaseback transaction permitted under </w:t>
      </w:r>
      <w:r>
        <w:rPr>
          <w:rFonts w:ascii="Times New Roman" w:cs="Times New Roman" w:eastAsia="Times New Roman" w:hAnsi="Times New Roman"/>
          <w:sz w:val="20"/>
          <w:szCs w:val="20"/>
          <w:u w:val="single" w:color="auto"/>
          <w:color w:val="auto"/>
        </w:rPr>
        <w:t>Section 7.05(f)</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Company of local credit facilities entered into by Unrestricted Subsidiaries that are Foreign Subsidiaries;</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 the form of commercial paper, maturing no later than 270 days following the date of issuance thereof, in an aggregate outstanding principal amount not exceeding $100,000,000; and</w:t>
      </w:r>
    </w:p>
    <w:p>
      <w:pPr>
        <w:spacing w:after="0" w:line="174" w:lineRule="exact"/>
        <w:rPr>
          <w:rFonts w:ascii="Times New Roman" w:cs="Times New Roman" w:eastAsia="Times New Roman" w:hAnsi="Times New Roman"/>
          <w:sz w:val="20"/>
          <w:szCs w:val="20"/>
          <w:color w:val="auto"/>
        </w:rPr>
      </w:pPr>
    </w:p>
    <w:p>
      <w:pPr>
        <w:ind w:left="300" w:right="359" w:firstLine="640"/>
        <w:spacing w:after="0" w:line="269" w:lineRule="auto"/>
        <w:tabs>
          <w:tab w:leader="none" w:pos="130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not contemplated by the above provisions in an aggregate principal amount at any time outstanding not to exceed $100,000,000.</w:t>
      </w:r>
    </w:p>
    <w:p>
      <w:pPr>
        <w:spacing w:after="0" w:line="15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7.04 Fundamental Changes </w:t>
      </w:r>
      <w:r>
        <w:rPr>
          <w:rFonts w:ascii="Times New Roman" w:cs="Times New Roman" w:eastAsia="Times New Roman" w:hAnsi="Times New Roman"/>
          <w:sz w:val="19"/>
          <w:szCs w:val="19"/>
          <w:color w:val="auto"/>
        </w:rPr>
        <w:t>. Merge into or consolidate or amalgamate into any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Person, or permit any other Person to merge into or consolidate or amalgamate with it, or sell, lease, transfer or otherwise dispose of (in a single transaction or a series of transactions (including in each case pursuant to a Division) all or substantially all of its assets (in each case, whether now owned or hereafter acquired) or all or substantially all of the stock of any such Restricted Subsidiary (in each case, whether now owned or hereafter acquired) or liquidate or dissolve;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thereof and immediately after giving effect thereto, no Default or Event of Default shall have occurred and be continuing (i) the Company or any such Restricted Subsidiary may merge or amalgamate with a Person if the Company (or such Restricted Subsidiary if the Company is not a party to such merger) is the surviving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 Acquisition permitted by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by a Subsidiary Guarantor, the acquired company may be the surviving Person so long as such acquired company becomes a Subsidiary Guarantor as required by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(ii) any such Restricted Subsidiary may merge or amalgamate into another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any party to such merger or amalgamation is a Designated Borrower or a Subsidiary Guarantor, such Designated Borrower or such Subsidiary Guarantor (as applicable) shall be the surviving Person (and if the non-surviving Restricted Subsidiary was also a Subsidiary Guarantor, the Administrative Agent, upon such event and at the request and expense of the Company and/or the applicable Designated Borrower or the surviving Subsidiary Guarantor, will execute such documents as shall be acceptable to the Administrative Agent and its counsel releasing the non-surviving Subsidiary Guarantor from its obligations under the Guaranty) or (B) if any party to such merger or amalgamation is not a Subsidiary Guarantor, the surviving Person shall execute and deliver to the Administrative Agent an agreement guaranteeing payment of the Obligations in form and substance satisfactory to the Administrative Agent and the Required Lenders to the extent required under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(iii) any such Restricted Subsidiary may sell, transfer, lease or otherwise dispose of all or substantially all of its assets to the Company, a Designated Borrower or to a Subsidiary Guarantor, (iv) any transaction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xml:space="preserve"> and (v) any such Restricted Subsidiary (other than a Designated Borrower or a Subsidiary Guarantor) may liquidate or dissolve if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8" w:name="page119"/>
    <w:bookmarkEnd w:id="118"/>
    <w:p>
      <w:pPr>
        <w:jc w:val="both"/>
        <w:ind w:left="300" w:right="319"/>
        <w:spacing w:after="0" w:line="245" w:lineRule="auto"/>
        <w:rPr>
          <w:sz w:val="20"/>
          <w:szCs w:val="20"/>
          <w:color w:val="auto"/>
        </w:rPr>
      </w:pPr>
      <w:r>
        <w:rPr>
          <w:rFonts w:ascii="Times New Roman" w:cs="Times New Roman" w:eastAsia="Times New Roman" w:hAnsi="Times New Roman"/>
          <w:sz w:val="20"/>
          <w:szCs w:val="20"/>
          <w:color w:val="auto"/>
        </w:rPr>
        <w:t xml:space="preserve">Company determines in good faith that such liquidation or dissolution is in the best interests of the Company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amalgamation involving a Person that is not a Wholly-Owned Subsidiary that is a Restricted Subsidiary immediately prior to such merger shall not be permitted unless also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Notwithstanding the foregoing, in no event shall any Domestic Obligor merge into or consolidate or amalgamate into any Foreign Obligor unless such Domestic Obligor is the surviving Person.</w:t>
      </w:r>
    </w:p>
    <w:p>
      <w:pPr>
        <w:spacing w:after="0" w:line="180" w:lineRule="exact"/>
        <w:rPr>
          <w:sz w:val="20"/>
          <w:szCs w:val="20"/>
          <w:color w:val="auto"/>
        </w:rPr>
      </w:pPr>
    </w:p>
    <w:p>
      <w:pPr>
        <w:ind w:left="940"/>
        <w:spacing w:after="0"/>
        <w:tabs>
          <w:tab w:leader="none" w:pos="1640" w:val="left"/>
          <w:tab w:leader="none" w:pos="3020" w:val="left"/>
        </w:tabs>
        <w:rPr>
          <w:sz w:val="20"/>
          <w:szCs w:val="20"/>
          <w:color w:val="auto"/>
        </w:rPr>
      </w:pPr>
      <w:r>
        <w:rPr>
          <w:rFonts w:ascii="Times New Roman" w:cs="Times New Roman" w:eastAsia="Times New Roman" w:hAnsi="Times New Roman"/>
          <w:sz w:val="20"/>
          <w:szCs w:val="20"/>
          <w:b w:val="1"/>
          <w:bCs w:val="1"/>
          <w:color w:val="auto"/>
        </w:rPr>
        <w:t>7.05</w:t>
      </w:r>
      <w:r>
        <w:rPr>
          <w:sz w:val="20"/>
          <w:szCs w:val="20"/>
          <w:color w:val="auto"/>
        </w:rPr>
        <w:tab/>
      </w:r>
      <w:r>
        <w:rPr>
          <w:rFonts w:ascii="Times New Roman" w:cs="Times New Roman" w:eastAsia="Times New Roman" w:hAnsi="Times New Roman"/>
          <w:sz w:val="20"/>
          <w:szCs w:val="20"/>
          <w:b w:val="1"/>
          <w:bCs w:val="1"/>
          <w:color w:val="auto"/>
        </w:rPr>
        <w:t xml:space="preserve">Dispositions </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Make any Disposition or enter into any agreement to make any</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Disposition, except:</w:t>
      </w:r>
    </w:p>
    <w:p>
      <w:pPr>
        <w:spacing w:after="0" w:line="194" w:lineRule="exact"/>
        <w:rPr>
          <w:sz w:val="20"/>
          <w:szCs w:val="20"/>
          <w:color w:val="auto"/>
        </w:rPr>
      </w:pPr>
    </w:p>
    <w:p>
      <w:pPr>
        <w:jc w:val="both"/>
        <w:ind w:left="300" w:right="319" w:firstLine="640"/>
        <w:spacing w:after="0" w:line="254"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or other property not necessary for the principal business operations disposed of in the ordinary course of business, whether now owned or hereafter acquired;</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and Cash Equivalents in the ordinary course of business;</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by any Restricted Subsidiary to the Company or to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transferor of such property is a Loan Party, the transferee thereof must be a Loan Party;</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by the Company and its Restricted Subsidiaries of property pursuant to sale-leaseback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book value of all property so Disposed of shall not exceed $50,000,000 in any fiscal year;</w:t>
      </w:r>
    </w:p>
    <w:p>
      <w:pPr>
        <w:spacing w:after="0" w:line="174" w:lineRule="exact"/>
        <w:rPr>
          <w:rFonts w:ascii="Times New Roman" w:cs="Times New Roman" w:eastAsia="Times New Roman" w:hAnsi="Times New Roman"/>
          <w:sz w:val="20"/>
          <w:szCs w:val="20"/>
          <w:color w:val="auto"/>
        </w:rPr>
      </w:pPr>
    </w:p>
    <w:p>
      <w:pPr>
        <w:ind w:left="300" w:right="299" w:firstLine="640"/>
        <w:spacing w:after="0" w:line="246"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without recourse, other than for misrepresentation, by any such Restricted Subsidiary of the Company of accounts receivable having a value, net of all allowances and discounts, not to exceed during any fiscal year of the Company an aggregate Dollar value of $70,000,000 for all such sales, which receivables shall be payable by Persons who are not United States citizens or organized and existing under the laws of the United States or a state or territory thereof; and</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other Disposition of such other assets in an aggregate amount not to exceed an amount which is equal to 10% of Consolidated Total Assets (determined by reference to the Company’s financial statements most recently delivered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or, if prior to the date of the delivery of the first financial statements to be delivered pursuant to such Sections, the most recent financial statements referred to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5.05(b)</w:t>
      </w:r>
      <w:r>
        <w:rPr>
          <w:rFonts w:ascii="Times New Roman" w:cs="Times New Roman" w:eastAsia="Times New Roman" w:hAnsi="Times New Roman"/>
          <w:sz w:val="20"/>
          <w:szCs w:val="20"/>
          <w:color w:val="auto"/>
        </w:rPr>
        <w:t xml:space="preserve">) in any fiscal year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sale or Disposition may be made during the continuance of any Default or Event Default);</w:t>
      </w:r>
    </w:p>
    <w:p>
      <w:pPr>
        <w:spacing w:after="0" w:line="186"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Disposition pursuant to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subsection (h)</w:t>
      </w:r>
      <w:r>
        <w:rPr>
          <w:rFonts w:ascii="Times New Roman" w:cs="Times New Roman" w:eastAsia="Times New Roman" w:hAnsi="Times New Roman"/>
          <w:sz w:val="20"/>
          <w:szCs w:val="20"/>
          <w:color w:val="auto"/>
        </w:rPr>
        <w:t xml:space="preserve"> shall be for fair market value.</w:t>
      </w:r>
    </w:p>
    <w:p>
      <w:pPr>
        <w:spacing w:after="0" w:line="155"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7.06 Restricted Payments</w:t>
      </w:r>
      <w:r>
        <w:rPr>
          <w:rFonts w:ascii="Times New Roman" w:cs="Times New Roman" w:eastAsia="Times New Roman" w:hAnsi="Times New Roman"/>
          <w:sz w:val="20"/>
          <w:szCs w:val="20"/>
          <w:color w:val="auto"/>
        </w:rPr>
        <w:t>. Declare or make, directly or indirectly, any Restricted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incur any obligation (contingent or otherwise) to do so, except that, so long as no Default shall have occurred and be continuing at the time of any action described below or would result therefrom: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9" w:name="page120"/>
    <w:bookmarkEnd w:id="119"/>
    <w:p>
      <w:pPr>
        <w:jc w:val="both"/>
        <w:ind w:left="300" w:right="319" w:firstLine="640"/>
        <w:spacing w:after="0" w:line="274" w:lineRule="auto"/>
        <w:tabs>
          <w:tab w:leader="none" w:pos="130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Subsidiary may make Restricted Payments to the Company, the Subsidiary Guarantors and any other Person that owns an Equity Interest in such Subsidiary, ratably according to their respective holdings of the type of Equity Interest in respect of which such Restricted Payment is being made;</w:t>
      </w:r>
    </w:p>
    <w:p>
      <w:pPr>
        <w:spacing w:after="0" w:line="156" w:lineRule="exact"/>
        <w:rPr>
          <w:rFonts w:ascii="Times New Roman" w:cs="Times New Roman" w:eastAsia="Times New Roman" w:hAnsi="Times New Roman"/>
          <w:sz w:val="19"/>
          <w:szCs w:val="19"/>
          <w:color w:val="auto"/>
        </w:rPr>
      </w:pPr>
    </w:p>
    <w:p>
      <w:pPr>
        <w:ind w:left="300" w:right="319" w:firstLine="640"/>
        <w:spacing w:after="0" w:line="295" w:lineRule="auto"/>
        <w:tabs>
          <w:tab w:leader="none" w:pos="130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Restricted Subsidiary may declare and make dividend payments or other distributions payable solely in the common stock or other common Equity Interests of such Person;</w:t>
      </w:r>
    </w:p>
    <w:p>
      <w:pPr>
        <w:spacing w:after="0" w:line="137" w:lineRule="exact"/>
        <w:rPr>
          <w:rFonts w:ascii="Times New Roman" w:cs="Times New Roman" w:eastAsia="Times New Roman" w:hAnsi="Times New Roman"/>
          <w:sz w:val="19"/>
          <w:szCs w:val="19"/>
          <w:color w:val="auto"/>
        </w:rPr>
      </w:pPr>
    </w:p>
    <w:p>
      <w:pPr>
        <w:jc w:val="both"/>
        <w:ind w:left="300" w:right="299" w:firstLine="640"/>
        <w:spacing w:after="0" w:line="254" w:lineRule="auto"/>
        <w:tabs>
          <w:tab w:leader="none" w:pos="130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purchase, redeem or otherwise acquire common Equity Interests issued by it with the proceeds received from the substantially concurrent issue of new shares of its common stock or other common Equity Interests; and</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Restricted Subsidiaries may make other Restricted Payments to the extent that, after giving effect thereto, the Consolidated Leverage Ratio shall not be greater than 3.50 to 1.00 (calculated on a Pro Forma Basis pursuant to </w:t>
      </w:r>
      <w:r>
        <w:rPr>
          <w:rFonts w:ascii="Times New Roman" w:cs="Times New Roman" w:eastAsia="Times New Roman" w:hAnsi="Times New Roman"/>
          <w:sz w:val="20"/>
          <w:szCs w:val="20"/>
          <w:u w:val="single" w:color="auto"/>
          <w:color w:val="auto"/>
        </w:rPr>
        <w:t>Section 1.03(c)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the Company or any Restricted Subsidiary may pay any Restricted Payment within 60 days after the declaration thereof, if such Restricted Payment would have been permitted to be paid under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on the date of declaration thereof.</w:t>
      </w:r>
    </w:p>
    <w:p>
      <w:pPr>
        <w:spacing w:after="0" w:line="170"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7.07 Change in Nature of Business </w:t>
      </w:r>
      <w:r>
        <w:rPr>
          <w:rFonts w:ascii="Times New Roman" w:cs="Times New Roman" w:eastAsia="Times New Roman" w:hAnsi="Times New Roman"/>
          <w:sz w:val="20"/>
          <w:szCs w:val="20"/>
          <w:color w:val="auto"/>
        </w:rPr>
        <w:t>. Engage in any material line of business substantially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different from those lines of business conducted by the Company and its Restricted Subsidiaries on the date hereof or any business substantially related or incidental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prohibit any merger, consolidation, liquidation or dissolution otherwise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any Acquisition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7.08 Transactions with Affiliates</w:t>
      </w:r>
      <w:r>
        <w:rPr>
          <w:rFonts w:ascii="Times New Roman" w:cs="Times New Roman" w:eastAsia="Times New Roman" w:hAnsi="Times New Roman"/>
          <w:sz w:val="20"/>
          <w:szCs w:val="20"/>
          <w:color w:val="auto"/>
        </w:rPr>
        <w:t>. Enter into any transaction of any kind with any 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Company, whether or not in the ordinary course of business, other than on terms and conditions substantially as favorable to the Company or such Restricted Subsidiary as would be obtainable by the Company or such Restricted Subsidiary at the time in an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(a) transactions between or among the Company and any Subsidiary Guarantor not involving any other Affiliates or between and among any Subsidiary Guarantors not involving any other Affiliates or between and among any Restricted Subsidiaries that are not Subsidiary Guarantors not involving any other Affiliates or (b) any Restricted Payment permitted by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7.09 Burdensome Agreements </w:t>
      </w:r>
      <w:r>
        <w:rPr>
          <w:rFonts w:ascii="Times New Roman" w:cs="Times New Roman" w:eastAsia="Times New Roman" w:hAnsi="Times New Roman"/>
          <w:sz w:val="20"/>
          <w:szCs w:val="20"/>
          <w:color w:val="auto"/>
        </w:rPr>
        <w:t>. Enter into any Contractual Obligation (other than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or any other Loan Document) that limits, restricts or imposes any condition on the ability (i) of any Restricted Subsidiary to make Restricted Payments to the Company or any Subsidiary Guarantor or to otherwise transfer property to the Company or any Subsidiary Guarantor, (ii) of any Restricted Subsidiary to Guarantee the Indebtedness of the Company or (iii) of the Company or any Restricted Subsidiary to create, incur, assume or suffer to exist Liens on property of such Person in favor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not prohibit any negative pledge incurred or provided in favor of any holder of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solely to the extent any such negative pledge relates to the property financed by or the subject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(x) this Section shall not apply to restrictions or conditions imposed (A) by law, (B) by the organizational documents of non-Wholly-Owned Subsidiaries to the extent such restrictions only apply to actions by, the assets of, or Equity Interests in, non-Wholly-Owned Subsidiaries, (C) by the documents governing the Private Placement Debt, (D) by documents listed on </w:t>
      </w:r>
      <w:r>
        <w:rPr>
          <w:rFonts w:ascii="Times New Roman" w:cs="Times New Roman" w:eastAsia="Times New Roman" w:hAnsi="Times New Roman"/>
          <w:sz w:val="20"/>
          <w:szCs w:val="20"/>
          <w:u w:val="single" w:color="auto"/>
          <w:color w:val="auto"/>
        </w:rPr>
        <w:t>Schedule 7.09</w:t>
      </w:r>
      <w:r>
        <w:rPr>
          <w:rFonts w:ascii="Times New Roman" w:cs="Times New Roman" w:eastAsia="Times New Roman" w:hAnsi="Times New Roman"/>
          <w:sz w:val="20"/>
          <w:szCs w:val="20"/>
          <w:color w:val="auto"/>
        </w:rPr>
        <w:t xml:space="preserve"> hereto or (E) by any documents creating a Lien permitted under any of </w:t>
      </w:r>
      <w:r>
        <w:rPr>
          <w:rFonts w:ascii="Times New Roman" w:cs="Times New Roman" w:eastAsia="Times New Roman" w:hAnsi="Times New Roman"/>
          <w:sz w:val="20"/>
          <w:szCs w:val="20"/>
          <w:u w:val="single" w:color="auto"/>
          <w:color w:val="auto"/>
        </w:rPr>
        <w:t>Sections 7.01(a)-(h)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(y) this Section shall not apply to customary restrictions and conditions contained in agreements relating to the sale of a Restricted Subsidiary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0" w:name="page121"/>
    <w:bookmarkEnd w:id="120"/>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 xml:space="preserve">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Restricted Subsidiary that is sold and such sale is permitted hereunder, and (z) this Section shall not apply to customary provisions in leases and other contracts restricting the assignment thereof.</w:t>
      </w:r>
    </w:p>
    <w:p>
      <w:pPr>
        <w:spacing w:after="0" w:line="170"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7.10 Use of Proceeds </w:t>
      </w:r>
      <w:r>
        <w:rPr>
          <w:rFonts w:ascii="Times New Roman" w:cs="Times New Roman" w:eastAsia="Times New Roman" w:hAnsi="Times New Roman"/>
          <w:sz w:val="20"/>
          <w:szCs w:val="20"/>
          <w:color w:val="auto"/>
        </w:rPr>
        <w:t>. Use the proceeds of any Credit Extension, whether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76"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19"/>
          <w:szCs w:val="19"/>
          <w:b w:val="1"/>
          <w:bCs w:val="1"/>
          <w:color w:val="auto"/>
        </w:rPr>
        <w:t>Financial Covenants.</w:t>
      </w:r>
    </w:p>
    <w:p>
      <w:pPr>
        <w:spacing w:after="0" w:line="220" w:lineRule="exact"/>
        <w:rPr>
          <w:sz w:val="20"/>
          <w:szCs w:val="20"/>
          <w:color w:val="auto"/>
        </w:rPr>
      </w:pPr>
    </w:p>
    <w:p>
      <w:pPr>
        <w:jc w:val="both"/>
        <w:ind w:left="300" w:right="299" w:firstLine="640"/>
        <w:spacing w:after="0" w:line="254" w:lineRule="auto"/>
        <w:tabs>
          <w:tab w:leader="none" w:pos="130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Measurement Period (commencing with the Measurement Period ending September 30, 2026) to be less than 2.50 to 1.00.</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Permit the Consolidated Leverage Ratio as of the end of any Measurement Period (commencing with the Measurement Period ending September 30, 2026) to be greater than 3.50 to 1.00.</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in connection with any Permitted Acquisition (or series of related transactions for the purpose of or resulting in such Permitted Acquisition) with aggregate consideration in excess of $100,000,000, the Company may, at its election, and upon prior written notice to the Administrative Agent, increase the required Consolidated Leverage Ratio pursuant to this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to 4.00 to 1.00, which such increase shall be applicable (i) with respect to a Permitted Acquisition that is not a Limited Condition Transaction, for the fiscal quarter in which such Permitted Acquisition is consummated and the three (3) consecutive quarterly test periods thereafter (which, for the avoidance of doubt, is a total of four consecutive fiscal quarters) or (ii) with respect to a Permitted Acquisition that is a Limited Condition Transaction, for purposes of determining Pro Forma Compliance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7.11(b)</w:t>
      </w:r>
      <w:r>
        <w:rPr>
          <w:rFonts w:ascii="Times New Roman" w:cs="Times New Roman" w:eastAsia="Times New Roman" w:hAnsi="Times New Roman"/>
          <w:sz w:val="20"/>
          <w:szCs w:val="20"/>
          <w:color w:val="auto"/>
        </w:rPr>
        <w:t xml:space="preserve"> on the LCT Test Date, for the fiscal quarter in which such Permitted Acquisition is consummated and for the three (3) consecutive quarterly test periods after which such Permitted Acquisition is consummated (which, for the avoidance of doubt, is a total of four consecutive fiscal quarters) (each, a “</w:t>
      </w:r>
      <w:r>
        <w:rPr>
          <w:rFonts w:ascii="Times New Roman" w:cs="Times New Roman" w:eastAsia="Times New Roman" w:hAnsi="Times New Roman"/>
          <w:sz w:val="20"/>
          <w:szCs w:val="20"/>
          <w:u w:val="single" w:color="auto"/>
          <w:color w:val="auto"/>
        </w:rPr>
        <w:t>Covenant Holiday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may opt to use a maximum of two Covenant Holidays during the term of this Agreement.</w:t>
      </w:r>
    </w:p>
    <w:p>
      <w:pPr>
        <w:spacing w:after="0" w:line="192"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7.12 Sanctions </w:t>
      </w:r>
      <w:r>
        <w:rPr>
          <w:rFonts w:ascii="Times New Roman" w:cs="Times New Roman" w:eastAsia="Times New Roman" w:hAnsi="Times New Roman"/>
          <w:sz w:val="20"/>
          <w:szCs w:val="20"/>
          <w:color w:val="auto"/>
        </w:rPr>
        <w:t>. Directly or indirectly, use the proceeds of any Credit Extension, or lend,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spacing w:after="0" w:line="179"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7.13 Anti-Corruption Laws </w:t>
      </w:r>
      <w:r>
        <w:rPr>
          <w:rFonts w:ascii="Times New Roman" w:cs="Times New Roman" w:eastAsia="Times New Roman" w:hAnsi="Times New Roman"/>
          <w:sz w:val="20"/>
          <w:szCs w:val="20"/>
          <w:color w:val="auto"/>
        </w:rPr>
        <w:t>. Directly or indirectly use the proceeds of any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for any purpose which would breach the United States Foreign Corrupt Practices Act of 1977, the UK Bribery Act 2010, and other similar anti-corruption legislation in other jurisdictions.</w:t>
      </w:r>
    </w:p>
    <w:p>
      <w:pPr>
        <w:spacing w:after="0" w:line="169" w:lineRule="exact"/>
        <w:rPr>
          <w:sz w:val="20"/>
          <w:szCs w:val="20"/>
          <w:color w:val="auto"/>
        </w:rPr>
      </w:pPr>
    </w:p>
    <w:p>
      <w:pPr>
        <w:jc w:val="both"/>
        <w:ind w:left="300" w:right="299"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7.14 Canadian Defined Benefit Pension Plan. </w:t>
      </w:r>
      <w:r>
        <w:rPr>
          <w:rFonts w:ascii="Times New Roman" w:cs="Times New Roman" w:eastAsia="Times New Roman" w:hAnsi="Times New Roman"/>
          <w:sz w:val="20"/>
          <w:szCs w:val="20"/>
          <w:color w:val="auto"/>
        </w:rPr>
        <w:t>(a) Sponsor, administer, maintain, contribute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participate in or assume or incur any liability in respect of, any Canadian Defined Benefit Pension Plan, or (b) acquire an interest in any Person if such Person sponsors, administers, maintains, contributes to, participates in or has any liability in respect of, any Canadian Defined Benefit Pension Plan, except, 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1" w:name="page122"/>
    <w:bookmarkEnd w:id="121"/>
    <w:p>
      <w:pPr>
        <w:ind w:left="300" w:right="319"/>
        <w:spacing w:after="0" w:line="295" w:lineRule="auto"/>
        <w:rPr>
          <w:sz w:val="20"/>
          <w:szCs w:val="20"/>
          <w:color w:val="auto"/>
        </w:rPr>
      </w:pPr>
      <w:r>
        <w:rPr>
          <w:rFonts w:ascii="Times New Roman" w:cs="Times New Roman" w:eastAsia="Times New Roman" w:hAnsi="Times New Roman"/>
          <w:sz w:val="19"/>
          <w:szCs w:val="19"/>
          <w:color w:val="auto"/>
        </w:rPr>
        <w:t>respect to clauses (a) and (b), Canadian Defined Benefit Pension Plans that do not, in the aggregate, have a solvency deficit in an amount that could reasonably be expected to result in a Material Adverse Effect.</w:t>
      </w:r>
    </w:p>
    <w:p>
      <w:pPr>
        <w:spacing w:after="0" w:line="134"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7.15</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16"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7.16</w:t>
      </w:r>
      <w:r>
        <w:rPr>
          <w:sz w:val="20"/>
          <w:szCs w:val="20"/>
          <w:color w:val="auto"/>
        </w:rPr>
        <w:tab/>
      </w:r>
      <w:r>
        <w:rPr>
          <w:rFonts w:ascii="Times New Roman" w:cs="Times New Roman" w:eastAsia="Times New Roman" w:hAnsi="Times New Roman"/>
          <w:sz w:val="19"/>
          <w:szCs w:val="19"/>
          <w:b w:val="1"/>
          <w:bCs w:val="1"/>
          <w:color w:val="auto"/>
        </w:rPr>
        <w:t>Amendments of Organization Documents; Fiscal Year and Accounting Changes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300" w:right="319" w:firstLine="640"/>
        <w:spacing w:after="0" w:line="269" w:lineRule="auto"/>
        <w:tabs>
          <w:tab w:leader="none" w:pos="130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 in a manner that in the aggregate is materially adverse to the Lenders;</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 except to change the fiscal year of a Restricted Subsidiary to conform its fiscal year to that of the Company; or</w:t>
      </w:r>
    </w:p>
    <w:p>
      <w:pPr>
        <w:spacing w:after="0" w:line="159"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significant change in accounting policies or reporting practices, except as required</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GAAP.</w:t>
      </w:r>
    </w:p>
    <w:p>
      <w:pPr>
        <w:spacing w:after="0" w:line="19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7.17</w:t>
      </w:r>
      <w:r>
        <w:rPr>
          <w:sz w:val="20"/>
          <w:szCs w:val="20"/>
          <w:color w:val="auto"/>
        </w:rPr>
        <w:tab/>
      </w:r>
      <w:r>
        <w:rPr>
          <w:rFonts w:ascii="Times New Roman" w:cs="Times New Roman" w:eastAsia="Times New Roman" w:hAnsi="Times New Roman"/>
          <w:sz w:val="20"/>
          <w:szCs w:val="20"/>
          <w:b w:val="1"/>
          <w:bCs w:val="1"/>
          <w:color w:val="auto"/>
        </w:rPr>
        <w:t xml:space="preserve">Amendment to Material Agreements. </w:t>
      </w:r>
      <w:r>
        <w:rPr>
          <w:rFonts w:ascii="Times New Roman" w:cs="Times New Roman" w:eastAsia="Times New Roman" w:hAnsi="Times New Roman"/>
          <w:sz w:val="20"/>
          <w:szCs w:val="20"/>
          <w:color w:val="auto"/>
        </w:rPr>
        <w:t>Amend, modify or waive any of its rights under</w:t>
      </w:r>
    </w:p>
    <w:p>
      <w:pPr>
        <w:spacing w:after="0" w:line="26" w:lineRule="exact"/>
        <w:rPr>
          <w:sz w:val="20"/>
          <w:szCs w:val="20"/>
          <w:color w:val="auto"/>
        </w:rPr>
      </w:pPr>
    </w:p>
    <w:p>
      <w:pPr>
        <w:jc w:val="both"/>
        <w:ind w:left="300" w:right="299" w:hanging="8"/>
        <w:spacing w:after="0" w:line="241" w:lineRule="auto"/>
        <w:tabs>
          <w:tab w:leader="none" w:pos="57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certificate of incorporation, bylaws or other organizational documents (including but not limited to the JV Operating Agreement) in a manner that in the aggregate are materially adverse to the interests of the Lenders in their capacities as lenders, or (b) any Material Agreement in a manner that results in, or could reasonably be expected to result in, a Material Adverse Effect.</w:t>
      </w:r>
    </w:p>
    <w:p>
      <w:pPr>
        <w:spacing w:after="0" w:line="188"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in this Agreement (including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 any other Loan Document to the contrary, in no event shall the Company or any Restricted Subsidiary transfer (whether by way of any Restricted Payment, Investment, Lien, sale, conveyance, transfer or other Disposition (including an exclusive license or right or otherwise), and whether in a single transaction or a series of transactions, and whether directly or indirectly (including by way of the transfer of any Equity Interests)) any Material Asset to (a) any Unrestricted Subsidiary or any of its Subsidiaries, (b) any Restricted Subsidiary that is not a Loan Party or (c) any Joint Venture or any of its Subsidiaries; provided, that the Loan Parties shall be permitted to grant non-exclusive licenses to any Unrestricted Subsidiary or any Restricted Subsidiary that is not a Loan Party in the ordinary course of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8.01 Events of Default</w:t>
      </w:r>
      <w:r>
        <w:rPr>
          <w:rFonts w:ascii="Times New Roman" w:cs="Times New Roman" w:eastAsia="Times New Roman" w:hAnsi="Times New Roman"/>
          <w:sz w:val="20"/>
          <w:szCs w:val="20"/>
          <w:color w:val="auto"/>
        </w:rPr>
        <w:t>. Any of the following shall constitute an event of Default (each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left="300" w:right="299" w:firstLine="640"/>
        <w:spacing w:after="0" w:line="246" w:lineRule="auto"/>
        <w:tabs>
          <w:tab w:leader="none" w:pos="130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Borrower or any other Loan Party fails to pay (i) when and as required to be paid herein, and in the currency required hereunder,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Company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(with respect to any Borrower’s legal existence),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74" w:lineRule="auto"/>
        <w:tabs>
          <w:tab w:leader="none" w:pos="1308"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xml:space="preserve">. Any Loan Party fails to perform or observe any other covenant or agreement (not specified in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contained in any Loan Document on its part to be performed or observed and such failure continues for 30 days after the earlier of (i) any Responsible Officer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2" w:name="page123"/>
    <w:bookmarkEnd w:id="122"/>
    <w:p>
      <w:pPr>
        <w:ind w:left="300" w:right="299"/>
        <w:spacing w:after="0" w:line="269" w:lineRule="auto"/>
        <w:rPr>
          <w:sz w:val="20"/>
          <w:szCs w:val="20"/>
          <w:color w:val="auto"/>
        </w:rPr>
      </w:pPr>
      <w:r>
        <w:rPr>
          <w:rFonts w:ascii="Times New Roman" w:cs="Times New Roman" w:eastAsia="Times New Roman" w:hAnsi="Times New Roman"/>
          <w:sz w:val="20"/>
          <w:szCs w:val="20"/>
          <w:color w:val="auto"/>
        </w:rPr>
        <w:t>of the Company becoming aware of such failure, or (ii) notice thereof having been given to the Company by the Administrative Agent or any Lender; or</w:t>
      </w:r>
    </w:p>
    <w:p>
      <w:pPr>
        <w:spacing w:after="0" w:line="159" w:lineRule="exact"/>
        <w:rPr>
          <w:sz w:val="20"/>
          <w:szCs w:val="20"/>
          <w:color w:val="auto"/>
        </w:rPr>
      </w:pPr>
    </w:p>
    <w:p>
      <w:pPr>
        <w:jc w:val="both"/>
        <w:ind w:left="300" w:right="319" w:firstLine="640"/>
        <w:spacing w:after="0" w:line="249" w:lineRule="auto"/>
        <w:tabs>
          <w:tab w:leader="none" w:pos="130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xml:space="preserve">. (i) The Company or any Restricted Subsidiary (whether as primary obligor or as guarantor or other surety) shall fail to pay any principal of or premium or interest on any Indebtedness (other than Indebtedness described in </w:t>
      </w:r>
      <w:r>
        <w:rPr>
          <w:rFonts w:ascii="Times New Roman" w:cs="Times New Roman" w:eastAsia="Times New Roman" w:hAnsi="Times New Roman"/>
          <w:sz w:val="19"/>
          <w:szCs w:val="19"/>
          <w:u w:val="single" w:color="auto"/>
          <w:color w:val="auto"/>
        </w:rPr>
        <w:t>Section 7.03(i)</w:t>
      </w:r>
      <w:r>
        <w:rPr>
          <w:rFonts w:ascii="Times New Roman" w:cs="Times New Roman" w:eastAsia="Times New Roman" w:hAnsi="Times New Roman"/>
          <w:sz w:val="19"/>
          <w:szCs w:val="19"/>
          <w:color w:val="auto"/>
        </w:rPr>
        <w:t>) having an aggregate principal amount (including principal amounts owing to all creditors under any combined or syndicated credit arrangement) in excess of the Threshold Amount that is outstanding, when and as the same shall become due and payable (whether at scheduled maturity, required prepayment, acceleration, demand or otherwise), and such failure shall continue after the applicable grace period, if any, specified in the agreement or instrument evidencing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the acceleration of, the maturity of such Indebtedness; or any such Indebtedness shall be declared to be due and payable, required to be prepaid or redeemed (other than by a regularly scheduled required prepayment or redemption), purchased or defeased, or any offer to prepay, redeem, purchase or defease such Indebtedness shall be required to be made, in each case prior to the stated maturity thereof;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181" w:lineRule="exact"/>
        <w:rPr>
          <w:rFonts w:ascii="Times New Roman" w:cs="Times New Roman" w:eastAsia="Times New Roman" w:hAnsi="Times New Roman"/>
          <w:sz w:val="19"/>
          <w:szCs w:val="19"/>
          <w:color w:val="auto"/>
        </w:rPr>
      </w:pPr>
    </w:p>
    <w:p>
      <w:pPr>
        <w:jc w:val="both"/>
        <w:ind w:left="300" w:right="299" w:firstLine="640"/>
        <w:spacing w:after="0" w:line="242" w:lineRule="auto"/>
        <w:tabs>
          <w:tab w:leader="none" w:pos="130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Any Loan Party or any of its Restricted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substantial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substantial part of its property is instituted without the consent of such Person and continues undismissed or unstayed for 60 calendar days, or an order for relief is entered in any such proceeding; or</w:t>
      </w:r>
    </w:p>
    <w:p>
      <w:pPr>
        <w:spacing w:after="0" w:line="192" w:lineRule="exact"/>
        <w:rPr>
          <w:rFonts w:ascii="Times New Roman" w:cs="Times New Roman" w:eastAsia="Times New Roman" w:hAnsi="Times New Roman"/>
          <w:sz w:val="20"/>
          <w:szCs w:val="20"/>
          <w:color w:val="auto"/>
        </w:rPr>
      </w:pPr>
    </w:p>
    <w:p>
      <w:pPr>
        <w:jc w:val="both"/>
        <w:ind w:left="300" w:right="299" w:firstLine="640"/>
        <w:spacing w:after="0" w:line="258" w:lineRule="auto"/>
        <w:tabs>
          <w:tab w:leader="none" w:pos="1321"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Judgments</w:t>
      </w:r>
      <w:r>
        <w:rPr>
          <w:rFonts w:ascii="Times New Roman" w:cs="Times New Roman" w:eastAsia="Times New Roman" w:hAnsi="Times New Roman"/>
          <w:sz w:val="19"/>
          <w:szCs w:val="19"/>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73" w:lineRule="exact"/>
        <w:rPr>
          <w:rFonts w:ascii="Times New Roman" w:cs="Times New Roman" w:eastAsia="Times New Roman" w:hAnsi="Times New Roman"/>
          <w:sz w:val="19"/>
          <w:szCs w:val="19"/>
          <w:color w:val="auto"/>
        </w:rPr>
      </w:pPr>
    </w:p>
    <w:p>
      <w:pPr>
        <w:ind w:left="300" w:right="299" w:firstLine="640"/>
        <w:spacing w:after="0" w:line="269" w:lineRule="auto"/>
        <w:tabs>
          <w:tab w:leader="none" w:pos="130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 Canadian Pension Plans</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3" w:name="page124"/>
    <w:bookmarkEnd w:id="123"/>
    <w:p>
      <w:pPr>
        <w:jc w:val="both"/>
        <w:ind w:left="300" w:right="299"/>
        <w:spacing w:after="0" w:line="256" w:lineRule="auto"/>
        <w:rPr>
          <w:sz w:val="20"/>
          <w:szCs w:val="20"/>
          <w:color w:val="auto"/>
        </w:rPr>
      </w:pPr>
      <w:r>
        <w:rPr>
          <w:rFonts w:ascii="Times New Roman" w:cs="Times New Roman" w:eastAsia="Times New Roman" w:hAnsi="Times New Roman"/>
          <w:sz w:val="19"/>
          <w:szCs w:val="19"/>
          <w:color w:val="auto"/>
        </w:rPr>
        <w:t>Company under Title IV of ERISA to the Pension Plan, Multiemployer Plan or the PBGC in an aggregate amount in excess of the Threshold Amount,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(iii) a Canadian Pension Plan Termination Event shall have occurred that when taken together with other Canadian Pension Plan Termination Events that have occurred, could reasonably be expected to result in liability of the Company in an aggregate amount in excess of the Threshold Amount or (iv) Canadian Loan Party or a subsidiary of a Canadian Loan Party shall fail to make a required contribution to or payment under any Canadian Pension Plan when due, which failure when taken together with other such failures that have occurred, could reasonably be expected to result in liability of the Company in an aggregate amount in excess of the Threshold Amount; or</w:t>
      </w:r>
    </w:p>
    <w:p>
      <w:pPr>
        <w:spacing w:after="0" w:line="177" w:lineRule="exact"/>
        <w:rPr>
          <w:sz w:val="20"/>
          <w:szCs w:val="20"/>
          <w:color w:val="auto"/>
        </w:rPr>
      </w:pPr>
    </w:p>
    <w:p>
      <w:pPr>
        <w:jc w:val="both"/>
        <w:ind w:left="300" w:right="299" w:firstLine="640"/>
        <w:spacing w:after="0" w:line="245" w:lineRule="auto"/>
        <w:tabs>
          <w:tab w:leader="none" w:pos="132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8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8.02 Remedies Upon Event of Default</w:t>
      </w:r>
      <w:r>
        <w:rPr>
          <w:rFonts w:ascii="Times New Roman" w:cs="Times New Roman" w:eastAsia="Times New Roman" w:hAnsi="Times New Roman"/>
          <w:sz w:val="20"/>
          <w:szCs w:val="20"/>
          <w:color w:val="auto"/>
        </w:rPr>
        <w:t>. If any Event of Default occurs and is continuing,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Administrative Agent shall, at the request of, or may, with the consent of, the Required Lenders, take any or all of the following actions:</w:t>
      </w:r>
    </w:p>
    <w:p>
      <w:pPr>
        <w:spacing w:after="0" w:line="173" w:lineRule="exact"/>
        <w:rPr>
          <w:sz w:val="20"/>
          <w:szCs w:val="20"/>
          <w:color w:val="auto"/>
        </w:rPr>
      </w:pPr>
    </w:p>
    <w:p>
      <w:pPr>
        <w:jc w:val="both"/>
        <w:ind w:left="300" w:right="299" w:firstLine="640"/>
        <w:spacing w:after="0" w:line="254" w:lineRule="auto"/>
        <w:tabs>
          <w:tab w:leader="none" w:pos="13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Minimum Collateral Amount with respect thereto).</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w:t>
      </w:r>
    </w:p>
    <w:p>
      <w:pPr>
        <w:spacing w:after="0" w:line="15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8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8.03 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4" w:name="page125"/>
    <w:bookmarkEnd w:id="124"/>
    <w:p>
      <w:pPr>
        <w:ind w:left="300" w:right="299"/>
        <w:spacing w:after="0" w:line="269" w:lineRule="auto"/>
        <w:rPr>
          <w:sz w:val="20"/>
          <w:szCs w:val="20"/>
          <w:color w:val="auto"/>
        </w:rPr>
      </w:pPr>
      <w:r>
        <w:rPr>
          <w:rFonts w:ascii="Times New Roman" w:cs="Times New Roman" w:eastAsia="Times New Roman" w:hAnsi="Times New Roman"/>
          <w:sz w:val="20"/>
          <w:szCs w:val="20"/>
          <w:color w:val="auto"/>
        </w:rPr>
        <w:t xml:space="preserve">amounts received on account of the Guaranteed Obligations shall, subject to the provisions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be applied by the Administrative Agent in the following order:</w:t>
      </w:r>
    </w:p>
    <w:p>
      <w:pPr>
        <w:spacing w:after="0" w:line="159"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payment of that portion of the Guaranteed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payable to the Administrative Agent in its capacity as such;</w:t>
      </w:r>
    </w:p>
    <w:p>
      <w:pPr>
        <w:spacing w:after="0" w:line="15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Guaranteed Obligations arising under the Loan Documents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Guaranteed Obligations constituting accrued and unpaid Letter of Credit Fees and interest on the Loans, L/C Borrowings and other Guaranteed Obligations arising under the Loan Documents,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Guaranteed Obligations constituting unpaid principal of the Loans and L/C Borrowings and Guaranteed Obligations then owing under Guaranteed Hedge Agreement and Guaranteed Cash Management Agreements, ratably among the Lenders, the L/C Issuer, the Hedge Banks and the Cash Management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 to Cash Collateralize that portion of L/C Obligations comprised of the aggregate undrawn amount of Letters of Credit to the extent not otherwise Cash Collateralized by the Company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Guaranteed Obligations have been indefeasibly paid in full, to the Company or as otherwise required by Law.</w:t>
      </w:r>
    </w:p>
    <w:p>
      <w:pPr>
        <w:spacing w:after="0" w:line="159"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Guaranteed Obligations, if any, in the order set forth above.</w:t>
      </w:r>
    </w:p>
    <w:p>
      <w:pPr>
        <w:spacing w:after="0" w:line="185"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Notwithstanding the foregoing, Guaranteed Obligations arising under Guaranteed Cash Management Agreements and Guaranteed Hedge Agreements shall be excluded from the application described above if the Administrative Agent has not received a Guaranteed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9.01 Appointment and Authority </w:t>
      </w:r>
      <w:r>
        <w:rPr>
          <w:rFonts w:ascii="Times New Roman" w:cs="Times New Roman" w:eastAsia="Times New Roman" w:hAnsi="Times New Roman"/>
          <w:sz w:val="20"/>
          <w:szCs w:val="20"/>
          <w:color w:val="auto"/>
        </w:rPr>
        <w:t>. Each of the Lenders and the L/C Issuer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Unless expressly set forth herein, the provisions of this Article are solely for the benefit of the Administrative Agent, the Lenders and the L/C Issuer,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9.02 Rights as a Lender</w:t>
      </w:r>
      <w:r>
        <w:rPr>
          <w:rFonts w:ascii="Times New Roman" w:cs="Times New Roman" w:eastAsia="Times New Roman" w:hAnsi="Times New Roman"/>
          <w:sz w:val="20"/>
          <w:szCs w:val="20"/>
          <w:color w:val="auto"/>
        </w:rPr>
        <w:t>. The Person serving as the Administrative Agent hereunder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Borrowers or any Subsidiary or other Affiliate thereof as if such Person were not the Administrative Agent hereunder and without any duty to account therefor to the Lenders or to provide notice or consent of the Lenders with respect thereto.</w:t>
      </w:r>
    </w:p>
    <w:p>
      <w:pPr>
        <w:spacing w:after="0" w:line="182" w:lineRule="exact"/>
        <w:rPr>
          <w:sz w:val="20"/>
          <w:szCs w:val="20"/>
          <w:color w:val="auto"/>
        </w:rPr>
      </w:pPr>
    </w:p>
    <w:p>
      <w:pPr>
        <w:jc w:val="both"/>
        <w:ind w:left="300" w:right="3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9.03 Exculpatory Provisions </w:t>
      </w:r>
      <w:r>
        <w:rPr>
          <w:rFonts w:ascii="Times New Roman" w:cs="Times New Roman" w:eastAsia="Times New Roman" w:hAnsi="Times New Roman"/>
          <w:sz w:val="20"/>
          <w:szCs w:val="20"/>
          <w:color w:val="auto"/>
        </w:rPr>
        <w:t>. The Administrative Agent or the Arrangers,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have any duties or obligations except those expressly set forth herein and in the other Loan Documents, and its duties hereunder shall be administrative in nature. Without limiting the generality of the foregoing, the Administrative Agent or the Arrangers, as applicable, and its Related Parties:</w:t>
      </w:r>
    </w:p>
    <w:p>
      <w:pPr>
        <w:spacing w:after="0" w:line="180" w:lineRule="exact"/>
        <w:rPr>
          <w:sz w:val="20"/>
          <w:szCs w:val="20"/>
          <w:color w:val="auto"/>
        </w:rPr>
      </w:pPr>
    </w:p>
    <w:p>
      <w:pPr>
        <w:ind w:left="300" w:right="319" w:firstLine="640"/>
        <w:spacing w:after="0" w:line="269" w:lineRule="auto"/>
        <w:tabs>
          <w:tab w:leader="none" w:pos="130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57" w:lineRule="auto"/>
        <w:tabs>
          <w:tab w:leader="none" w:pos="1308"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5" w:lineRule="exact"/>
        <w:rPr>
          <w:rFonts w:ascii="Times New Roman" w:cs="Times New Roman" w:eastAsia="Times New Roman" w:hAnsi="Times New Roman"/>
          <w:sz w:val="19"/>
          <w:szCs w:val="19"/>
          <w:color w:val="auto"/>
        </w:rPr>
      </w:pPr>
    </w:p>
    <w:p>
      <w:pPr>
        <w:jc w:val="both"/>
        <w:ind w:left="300" w:right="299" w:firstLine="640"/>
        <w:spacing w:after="0" w:line="246" w:lineRule="auto"/>
        <w:tabs>
          <w:tab w:leader="none" w:pos="130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respective Affiliates that is communicated to, obtained or in the possession of, the Administrative Agent, Arrangers or any of their respective Related Parties in any capacity,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-175895</wp:posOffset>
            </wp:positionV>
            <wp:extent cx="311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-158750</wp:posOffset>
            </wp:positionV>
            <wp:extent cx="311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6" w:name="page127"/>
    <w:bookmarkEnd w:id="126"/>
    <w:p>
      <w:pPr>
        <w:ind w:left="300" w:right="299"/>
        <w:spacing w:after="0" w:line="269" w:lineRule="auto"/>
        <w:rPr>
          <w:sz w:val="20"/>
          <w:szCs w:val="20"/>
          <w:color w:val="auto"/>
        </w:rPr>
      </w:pPr>
      <w:r>
        <w:rPr>
          <w:rFonts w:ascii="Times New Roman" w:cs="Times New Roman" w:eastAsia="Times New Roman" w:hAnsi="Times New Roman"/>
          <w:sz w:val="20"/>
          <w:szCs w:val="20"/>
          <w:color w:val="auto"/>
        </w:rPr>
        <w:t>notices, reports and other documents expressly required to be furnished to the Lenders by the Administrative Agent herein;</w:t>
      </w:r>
    </w:p>
    <w:p>
      <w:pPr>
        <w:spacing w:after="0" w:line="159" w:lineRule="exact"/>
        <w:rPr>
          <w:sz w:val="20"/>
          <w:szCs w:val="20"/>
          <w:color w:val="auto"/>
        </w:rPr>
      </w:pPr>
    </w:p>
    <w:p>
      <w:pPr>
        <w:jc w:val="both"/>
        <w:ind w:left="300" w:right="299" w:firstLine="640"/>
        <w:spacing w:after="0" w:line="243" w:lineRule="auto"/>
        <w:tabs>
          <w:tab w:leader="none" w:pos="130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w:t>
      </w:r>
      <w:r>
        <w:rPr>
          <w:rFonts w:ascii="Times New Roman" w:cs="Times New Roman" w:eastAsia="Times New Roman" w:hAnsi="Times New Roman"/>
          <w:sz w:val="20"/>
          <w:szCs w:val="20"/>
          <w:u w:val="single" w:color="auto"/>
          <w:color w:val="auto"/>
        </w:rPr>
        <w:t>the</w:t>
      </w:r>
      <w:r>
        <w:rPr>
          <w:rFonts w:ascii="Times New Roman" w:cs="Times New Roman" w:eastAsia="Times New Roman" w:hAnsi="Times New Roman"/>
          <w:sz w:val="20"/>
          <w:szCs w:val="20"/>
          <w:color w:val="auto"/>
        </w:rPr>
        <w:t xml:space="preserve"> L/C Issuer; and</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0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9.04 Reliance by Administrative Agent</w:t>
      </w:r>
      <w:r>
        <w:rPr>
          <w:rFonts w:ascii="Times New Roman" w:cs="Times New Roman" w:eastAsia="Times New Roman" w:hAnsi="Times New Roman"/>
          <w:sz w:val="20"/>
          <w:szCs w:val="20"/>
          <w:color w:val="auto"/>
        </w:rPr>
        <w:t>. The Administrative Agent shall be entitled to rely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both"/>
        <w:ind w:left="300" w:right="299" w:firstLine="648"/>
        <w:spacing w:after="0" w:line="237" w:lineRule="exact"/>
        <w:rPr>
          <w:sz w:val="20"/>
          <w:szCs w:val="20"/>
          <w:color w:val="auto"/>
        </w:rPr>
      </w:pPr>
      <w:r>
        <w:rPr>
          <w:rFonts w:ascii="Times New Roman" w:cs="Times New Roman" w:eastAsia="Times New Roman" w:hAnsi="Times New Roman"/>
          <w:sz w:val="20"/>
          <w:szCs w:val="20"/>
          <w:b w:val="1"/>
          <w:bCs w:val="1"/>
          <w:color w:val="auto"/>
        </w:rPr>
        <w:t>9.05 Delegation of Duties</w:t>
      </w:r>
      <w:r>
        <w:rPr>
          <w:rFonts w:ascii="Times New Roman" w:cs="Times New Roman" w:eastAsia="Times New Roman" w:hAnsi="Times New Roman"/>
          <w:sz w:val="20"/>
          <w:szCs w:val="20"/>
          <w:color w:val="auto"/>
        </w:rPr>
        <w:t>. The Administrative Agent may perform any and all of its duties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exercise its rights and powers hereunder or under any other Loan Document by or through any one or more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appointed by the Administrative Agent. The Administrative Agent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to the Related Parties of the Administrative Agent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1"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9.06</w:t>
      </w:r>
      <w:r>
        <w:rPr>
          <w:sz w:val="20"/>
          <w:szCs w:val="20"/>
          <w:color w:val="auto"/>
        </w:rPr>
        <w:tab/>
      </w:r>
      <w:r>
        <w:rPr>
          <w:rFonts w:ascii="Times New Roman" w:cs="Times New Roman" w:eastAsia="Times New Roman" w:hAnsi="Times New Roman"/>
          <w:sz w:val="19"/>
          <w:szCs w:val="19"/>
          <w:b w:val="1"/>
          <w:bCs w:val="1"/>
          <w:color w:val="auto"/>
        </w:rPr>
        <w:t>Resignation of Administrative Agent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7" w:name="page128"/>
    <w:bookmarkEnd w:id="127"/>
    <w:p>
      <w:pPr>
        <w:jc w:val="both"/>
        <w:ind w:left="300" w:right="299" w:firstLine="640"/>
        <w:spacing w:after="0" w:line="242" w:lineRule="auto"/>
        <w:tabs>
          <w:tab w:leader="none" w:pos="130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L/C Issuer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L/C Issuer,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87"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0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tabs>
          <w:tab w:leader="none" w:pos="130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Guaranteed Parties and (B) in respect of any actions taken in connection with transferring the agency to any successor Administrative Agent.</w:t>
      </w:r>
    </w:p>
    <w:p>
      <w:pPr>
        <w:spacing w:after="0" w:line="202" w:lineRule="exact"/>
        <w:rPr>
          <w:rFonts w:ascii="Times New Roman" w:cs="Times New Roman" w:eastAsia="Times New Roman" w:hAnsi="Times New Roman"/>
          <w:sz w:val="20"/>
          <w:szCs w:val="20"/>
          <w:color w:val="auto"/>
        </w:rPr>
      </w:pPr>
    </w:p>
    <w:p>
      <w:pPr>
        <w:jc w:val="both"/>
        <w:ind w:left="300" w:right="299" w:firstLine="640"/>
        <w:spacing w:after="0" w:line="295" w:lineRule="auto"/>
        <w:tabs>
          <w:tab w:leader="none" w:pos="130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resignation by Bank of America as Administrative Agent pursuant to this Section shall also constitute its resignation as L/C Issuer and Swing Line Lender. If Bank of America resigns as an L/C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8" w:name="page129"/>
    <w:bookmarkEnd w:id="128"/>
    <w:p>
      <w:pPr>
        <w:jc w:val="both"/>
        <w:ind w:left="300" w:right="299"/>
        <w:spacing w:after="0" w:line="254" w:lineRule="auto"/>
        <w:rPr>
          <w:sz w:val="20"/>
          <w:szCs w:val="20"/>
          <w:color w:val="auto"/>
        </w:rPr>
      </w:pPr>
      <w:r>
        <w:rPr>
          <w:rFonts w:ascii="Times New Roman" w:cs="Times New Roman" w:eastAsia="Times New Roman" w:hAnsi="Times New Roman"/>
          <w:sz w:val="19"/>
          <w:szCs w:val="19"/>
          <w:color w:val="auto"/>
        </w:rPr>
        <w:t xml:space="preserve">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w:t>
      </w:r>
    </w:p>
    <w:p>
      <w:pPr>
        <w:spacing w:after="0" w:line="3" w:lineRule="exact"/>
        <w:rPr>
          <w:sz w:val="20"/>
          <w:szCs w:val="20"/>
          <w:color w:val="auto"/>
        </w:rPr>
      </w:pPr>
    </w:p>
    <w:p>
      <w:pPr>
        <w:jc w:val="both"/>
        <w:ind w:left="300" w:right="299" w:hanging="8"/>
        <w:spacing w:after="0" w:line="241" w:lineRule="auto"/>
        <w:tabs>
          <w:tab w:leader="none" w:pos="60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3"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b w:val="1"/>
          <w:bCs w:val="1"/>
          <w:color w:val="auto"/>
        </w:rPr>
        <w:t xml:space="preserve">9.07 Non-Reliance on Administrative Agent, Arrangers and Other Lenders </w:t>
      </w:r>
      <w:r>
        <w:rPr>
          <w:rFonts w:ascii="Times New Roman" w:cs="Times New Roman" w:eastAsia="Times New Roman" w:hAnsi="Times New Roman"/>
          <w:sz w:val="20"/>
          <w:szCs w:val="20"/>
          <w:color w:val="auto"/>
        </w:rPr>
        <w: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the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any Arranger have disclosed material information in their (or their respective Related Parties’) possession. Each Lender and each L/C Issuer represents to the Administrative Agent and the Arrangers that it has, independently and without reliance upon the Administrative Agent, the Arrangers,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the Arrangers,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9" w:name="page130"/>
    <w:bookmarkEnd w:id="129"/>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9.08 No Other Duties, Etc</w:t>
      </w:r>
      <w:r>
        <w:rPr>
          <w:rFonts w:ascii="Times New Roman" w:cs="Times New Roman" w:eastAsia="Times New Roman" w:hAnsi="Times New Roman"/>
          <w:sz w:val="20"/>
          <w:szCs w:val="20"/>
          <w:color w:val="auto"/>
        </w:rPr>
        <w:t>. Anything herein to the contrary notwithstanding, none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arranger(s), bookrunner(s), syndication agent(s) or 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80"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9.09 Administrative Agent May File Proofs of Claim. </w:t>
      </w:r>
      <w:r>
        <w:rPr>
          <w:rFonts w:ascii="Times New Roman" w:cs="Times New Roman" w:eastAsia="Times New Roman" w:hAnsi="Times New Roman"/>
          <w:sz w:val="20"/>
          <w:szCs w:val="20"/>
          <w:color w:val="auto"/>
        </w:rPr>
        <w:t>In case of the pendency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3" w:lineRule="exact"/>
        <w:rPr>
          <w:sz w:val="20"/>
          <w:szCs w:val="20"/>
          <w:color w:val="auto"/>
        </w:rPr>
      </w:pPr>
    </w:p>
    <w:p>
      <w:pPr>
        <w:jc w:val="both"/>
        <w:ind w:left="300" w:right="299" w:firstLine="640"/>
        <w:spacing w:after="0" w:line="243" w:lineRule="auto"/>
        <w:tabs>
          <w:tab w:leader="none" w:pos="130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Guaranteed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9" w:lineRule="exact"/>
        <w:rPr>
          <w:rFonts w:ascii="Times New Roman" w:cs="Times New Roman" w:eastAsia="Times New Roman" w:hAnsi="Times New Roman"/>
          <w:sz w:val="20"/>
          <w:szCs w:val="20"/>
          <w:color w:val="auto"/>
        </w:rPr>
      </w:pPr>
    </w:p>
    <w:p>
      <w:pPr>
        <w:ind w:left="300" w:right="299" w:firstLine="640"/>
        <w:spacing w:after="0" w:line="269" w:lineRule="auto"/>
        <w:tabs>
          <w:tab w:leader="none" w:pos="130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Guaranteed Obligations or the rights of any Lender or the L/C Issuer to authorize the Administrative Agent to vote in respect of the claim of any Lender or the L/C Issuer in any such proceeding.</w:t>
      </w:r>
    </w:p>
    <w:p>
      <w:pPr>
        <w:spacing w:after="0" w:line="181"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9.10 Guaranty Matters. </w:t>
      </w:r>
      <w:r>
        <w:rPr>
          <w:rFonts w:ascii="Times New Roman" w:cs="Times New Roman" w:eastAsia="Times New Roman" w:hAnsi="Times New Roman"/>
          <w:sz w:val="20"/>
          <w:szCs w:val="20"/>
          <w:color w:val="auto"/>
        </w:rPr>
        <w:t>Without limiting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Lenders (including in its capacities as a potential Cash Management Bank and a potential Hedge Bank) and the L/C Issuer irrevocably authorize the Administrative Agent, at its option and in its discretion, to release any Subsidiary Guarantor from its obligations under the Guaranty and any other Loan Documents to which it is a party if such Person ceases to be a Restricted Subsidiary as a result of a transaction permitted under the Loan Documents or is designated as an Unrestricted Subsidiary pursuant to and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any Subsidiary Guarantor from its obligations under the Guaranty and any other Loan Documents to which it is a party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Lender ERISA Representation.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0" w:name="page131"/>
    <w:bookmarkEnd w:id="130"/>
    <w:p>
      <w:pPr>
        <w:jc w:val="both"/>
        <w:ind w:left="300" w:right="299" w:firstLine="640"/>
        <w:spacing w:after="0" w:line="246" w:lineRule="auto"/>
        <w:tabs>
          <w:tab w:leader="none" w:pos="130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Company or any other Loan Party, that at least one of the following is and will be true: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4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4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4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jc w:val="both"/>
        <w:ind w:left="940" w:right="29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1" w:lineRule="exact"/>
        <w:rPr>
          <w:rFonts w:ascii="Times New Roman" w:cs="Times New Roman" w:eastAsia="Times New Roman" w:hAnsi="Times New Roman"/>
          <w:sz w:val="20"/>
          <w:szCs w:val="20"/>
          <w:color w:val="auto"/>
        </w:rPr>
      </w:pPr>
    </w:p>
    <w:p>
      <w:pPr>
        <w:ind w:left="940" w:right="39" w:firstLine="648"/>
        <w:spacing w:after="0" w:line="269" w:lineRule="auto"/>
        <w:tabs>
          <w:tab w:leader="none" w:pos="230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300" w:right="299" w:firstLine="352"/>
        <w:spacing w:after="0" w:line="242" w:lineRule="auto"/>
        <w:tabs>
          <w:tab w:leader="none" w:pos="102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left="300" w:right="299" w:firstLine="648"/>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9.12 Guaranteed Cash Management Agreements and Guaranteed Hedge Agreements. </w:t>
      </w:r>
      <w:r>
        <w:rPr>
          <w:rFonts w:ascii="Times New Roman" w:cs="Times New Roman" w:eastAsia="Times New Roman" w:hAnsi="Times New Roman"/>
          <w:sz w:val="19"/>
          <w:szCs w:val="19"/>
          <w:color w:val="auto"/>
        </w:rPr>
        <w:t xml:space="preserve">Except as otherwise expressly set forth herein, no Cash Management Bank or Hedge Bank that obtains the benefit of the provisions of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or the Guaranty by virtue of the provisions hereof or any other Loan Document shall have any right to notice of any action or to consent to, direct or object to any action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1" w:name="page132"/>
    <w:bookmarkEnd w:id="131"/>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hereunder or under any other Loan Document or otherwise (or to notice of or to consent to any amendment, waiver or modification of the provisions hereof or of the Guaranty or any other Loan Document)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Guaranteed Obligations arising under Guaranteed Cash Management Agreements and Guaranteed Hedge Agreements except to the extent expressly provided herein and unless the Administrative Agent has received a Guaranteed Party Designation Notice of such Guaranteed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Guaranteed Obligations arising under Guaranteed Cash Management Agreements and Guaranteed Hedge Agreements in the case of termination of the Aggregate Commitments or repayment of all other Obligations hereunder.</w:t>
      </w:r>
    </w:p>
    <w:p>
      <w:pPr>
        <w:spacing w:after="0" w:line="19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9.13 Recovery of Erroneous Payments. </w:t>
      </w:r>
      <w:r>
        <w:rPr>
          <w:rFonts w:ascii="Times New Roman" w:cs="Times New Roman" w:eastAsia="Times New Roman" w:hAnsi="Times New Roman"/>
          <w:sz w:val="20"/>
          <w:szCs w:val="20"/>
          <w:color w:val="auto"/>
        </w:rPr>
        <w:t>Without limitation of any other provision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10.01 Amendments, Etc </w:t>
      </w:r>
      <w:r>
        <w:rPr>
          <w:rFonts w:ascii="Times New Roman" w:cs="Times New Roman" w:eastAsia="Times New Roman" w:hAnsi="Times New Roman"/>
          <w:sz w:val="20"/>
          <w:szCs w:val="20"/>
          <w:color w:val="auto"/>
        </w:rPr>
        <w:t>. Unless otherwise expressly provided herein, no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waiver of any provision of this Agreement or any other Loan Document, 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200" w:lineRule="exact"/>
        <w:rPr>
          <w:sz w:val="20"/>
          <w:szCs w:val="20"/>
          <w:color w:val="auto"/>
        </w:rPr>
      </w:pPr>
    </w:p>
    <w:p>
      <w:pPr>
        <w:spacing w:after="0" w:line="219" w:lineRule="exact"/>
        <w:rPr>
          <w:sz w:val="20"/>
          <w:szCs w:val="20"/>
          <w:color w:val="auto"/>
        </w:rPr>
      </w:pPr>
    </w:p>
    <w:p>
      <w:pPr>
        <w:ind w:left="300" w:right="319" w:firstLine="640"/>
        <w:spacing w:after="0" w:line="269" w:lineRule="auto"/>
        <w:tabs>
          <w:tab w:leader="none" w:pos="130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4.01(c)</w:t>
      </w:r>
      <w:r>
        <w:rPr>
          <w:rFonts w:ascii="Times New Roman" w:cs="Times New Roman" w:eastAsia="Times New Roman" w:hAnsi="Times New Roman"/>
          <w:sz w:val="20"/>
          <w:szCs w:val="20"/>
          <w:color w:val="auto"/>
        </w:rPr>
        <w:t>) without the written consent of each Lender;</w:t>
      </w:r>
    </w:p>
    <w:p>
      <w:pPr>
        <w:spacing w:after="0" w:line="15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any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w:t>
      </w:r>
    </w:p>
    <w:p>
      <w:pPr>
        <w:spacing w:after="0" w:line="159"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0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or mandatory prepayment of principal, interest, fees or other amounts due to the Lenders (or any of them) or any scheduled or mandatory reduction of the Aggregate Commitments hereunder or under any other Loan Document without the written consent of each Lender directly affected thereby;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2" w:name="page133"/>
    <w:bookmarkEnd w:id="132"/>
    <w:p>
      <w:pPr>
        <w:ind w:left="300" w:right="299" w:firstLine="640"/>
        <w:spacing w:after="0" w:line="243"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interest,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change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any other provision in a manner that would alter the pro rata sharing of payments required thereby or (ii) subordinate, or change any provision hereof that would have the effect of subordinating, the Obligations hereunder to any other Indebtedness or other obligation, in each case without the written consent of each Lender;</w:t>
      </w:r>
    </w:p>
    <w:p>
      <w:pPr>
        <w:spacing w:after="0" w:line="17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the definition of “Alternative Currency” without the written consent of each Lender directly and adversely affected thereby;</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(i) the Company from the Guaranty or (ii) Subsidiary Guarantors comprising all or substantially all of the value of the Guaranty, in each case without the written consent of each Lender, except to the extent the release of any Subsidiary Guarantor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definition of “Seasonal Increase Period” or “Seasonal Decrease Period”, or the amount of the reduction in the Aggregate Commitments during the Seasonal Decrease Period, without the written consent of each Lender; or</w:t>
      </w:r>
    </w:p>
    <w:p>
      <w:pPr>
        <w:spacing w:after="0" w:line="174"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30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specifying the number or percentage of Lenders required to agree to permit an Applicant Borrower to constitute a Designated Borrower without the written consent of each Lender;</w:t>
      </w:r>
    </w:p>
    <w:p>
      <w:pPr>
        <w:spacing w:after="0" w:line="17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w:t>
      </w:r>
    </w:p>
    <w:p>
      <w:pPr>
        <w:spacing w:after="0" w:line="4" w:lineRule="exact"/>
        <w:rPr>
          <w:sz w:val="20"/>
          <w:szCs w:val="20"/>
          <w:color w:val="auto"/>
        </w:rPr>
      </w:pPr>
    </w:p>
    <w:p>
      <w:pPr>
        <w:jc w:val="both"/>
        <w:ind w:left="300" w:right="299" w:hanging="8"/>
        <w:spacing w:after="0"/>
        <w:tabs>
          <w:tab w:leader="none" w:pos="65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 the maturity of any of its Loans may not be extended, the rate of interest on any of its Loans may not be reduced and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3" w:name="page134"/>
    <w:bookmarkEnd w:id="133"/>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80"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each Lender hereby irrevocably authorizes the Administrative Agent on its behalf, and without further consent of any Lender (but with the consent of the Borrowers or the other applicable Loan Parties and the Administrative Agent), to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w:t>
      </w:r>
    </w:p>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2"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color w:val="auto"/>
        </w:rPr>
        <w:t>Notices; Effectiveness; Electronic Communication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5" w:lineRule="auto"/>
        <w:tabs>
          <w:tab w:leader="none" w:pos="134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4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Company or any other Loan Party, the Administrative Agent, the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4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85" w:lineRule="exact"/>
        <w:rPr>
          <w:sz w:val="20"/>
          <w:szCs w:val="20"/>
          <w:color w:val="auto"/>
        </w:rPr>
      </w:pPr>
    </w:p>
    <w:p>
      <w:pPr>
        <w:jc w:val="both"/>
        <w:ind w:left="300" w:right="319"/>
        <w:spacing w:after="0" w:line="246"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4" w:name="page135"/>
    <w:bookmarkEnd w:id="134"/>
    <w:p>
      <w:pPr>
        <w:ind w:left="300" w:right="299"/>
        <w:spacing w:after="0" w:line="269" w:lineRule="auto"/>
        <w:rPr>
          <w:sz w:val="20"/>
          <w:szCs w:val="20"/>
          <w:color w:val="auto"/>
        </w:rPr>
      </w:pPr>
      <w:r>
        <w:rPr>
          <w:rFonts w:ascii="Times New Roman" w:cs="Times New Roman" w:eastAsia="Times New Roman" w:hAnsi="Times New Roman"/>
          <w:sz w:val="20"/>
          <w:szCs w:val="20"/>
          <w:color w:val="auto"/>
        </w:rPr>
        <w:t xml:space="preserve">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0"/>
        <w:spacing w:after="0" w:line="233" w:lineRule="exact"/>
        <w:tabs>
          <w:tab w:leader="none" w:pos="130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Lenders and the L/C Issuer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FpML messaging,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2" w:lineRule="exact"/>
        <w:rPr>
          <w:sz w:val="20"/>
          <w:szCs w:val="20"/>
          <w:color w:val="auto"/>
        </w:rPr>
      </w:pPr>
    </w:p>
    <w:p>
      <w:pPr>
        <w:jc w:val="both"/>
        <w:ind w:left="300" w:right="299" w:firstLine="640"/>
        <w:spacing w:after="0" w:line="241" w:lineRule="auto"/>
        <w:tabs>
          <w:tab w:leader="none" w:pos="130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other Loan Party any Lender, the L/C Issuer or any other Person for losses, claims, damages, liabilities or expenses of any kind (whether in tort, contract or otherwise) arising out of the Company’s, any Loan Party’s or the Administrative Agent’s transmission of Borrower Materials or notices through the platform, any other electronic Platform or electronic messaging service, or through the Internet.</w:t>
      </w:r>
    </w:p>
    <w:p>
      <w:pPr>
        <w:spacing w:after="0" w:line="194"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21"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5" w:name="page136"/>
    <w:bookmarkEnd w:id="135"/>
    <w:p>
      <w:pPr>
        <w:jc w:val="both"/>
        <w:ind w:left="300" w:right="299"/>
        <w:spacing w:after="0" w:line="274" w:lineRule="auto"/>
        <w:rPr>
          <w:sz w:val="20"/>
          <w:szCs w:val="20"/>
          <w:color w:val="auto"/>
        </w:rPr>
      </w:pPr>
      <w:r>
        <w:rPr>
          <w:rFonts w:ascii="Times New Roman" w:cs="Times New Roman" w:eastAsia="Times New Roman" w:hAnsi="Times New Roman"/>
          <w:sz w:val="19"/>
          <w:szCs w:val="19"/>
          <w:color w:val="auto"/>
        </w:rPr>
        <w:t>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56" w:lineRule="exact"/>
        <w:rPr>
          <w:sz w:val="20"/>
          <w:szCs w:val="20"/>
          <w:color w:val="auto"/>
        </w:rPr>
      </w:pPr>
    </w:p>
    <w:p>
      <w:pPr>
        <w:jc w:val="both"/>
        <w:ind w:left="300" w:right="299" w:firstLine="640"/>
        <w:spacing w:after="0" w:line="242" w:lineRule="auto"/>
        <w:tabs>
          <w:tab w:leader="none" w:pos="132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10.03 No Waiver; Cumulative Remedies; Enforcement </w:t>
      </w:r>
      <w:r>
        <w:rPr>
          <w:rFonts w:ascii="Times New Roman" w:cs="Times New Roman" w:eastAsia="Times New Roman" w:hAnsi="Times New Roman"/>
          <w:sz w:val="20"/>
          <w:szCs w:val="20"/>
          <w:color w:val="auto"/>
        </w:rPr>
        <w:t>. No failure by any Lender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w:t>
      </w:r>
      <w:r>
        <w:rPr>
          <w:rFonts w:ascii="Times New Roman" w:cs="Times New Roman" w:eastAsia="Times New Roman" w:hAnsi="Times New Roman"/>
          <w:sz w:val="19"/>
          <w:szCs w:val="19"/>
          <w:color w:val="auto"/>
        </w:rPr>
        <w:t xml:space="preserve"> and (ii) in addition to the matters set forth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preceding proviso and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any Lender may, with the consent of the Required Lenders, enforce any rights and remedies available to it and as authorized by the Required Lenders.</w:t>
      </w:r>
    </w:p>
    <w:p>
      <w:pPr>
        <w:spacing w:after="0" w:line="181"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300" w:right="299" w:firstLine="640"/>
        <w:spacing w:after="0" w:line="242" w:lineRule="exact"/>
        <w:tabs>
          <w:tab w:leader="none" w:pos="1348"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Company shall pay (i) all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incurred by the Administrative Agent and its Affiliates (including the reasonable fees, charges and disbursements of one primary counsel and one additional local counsel in each applicable jurisdiction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6" w:name="page137"/>
    <w:bookmarkEnd w:id="136"/>
    <w:p>
      <w:pPr>
        <w:jc w:val="both"/>
        <w:ind w:left="300" w:right="299"/>
        <w:spacing w:after="0" w:line="236" w:lineRule="exact"/>
        <w:rPr>
          <w:sz w:val="20"/>
          <w:szCs w:val="20"/>
          <w:color w:val="auto"/>
        </w:rPr>
      </w:pPr>
      <w:r>
        <w:rPr>
          <w:rFonts w:ascii="Times New Roman" w:cs="Times New Roman" w:eastAsia="Times New Roman" w:hAnsi="Times New Roman"/>
          <w:sz w:val="20"/>
          <w:szCs w:val="20"/>
          <w:color w:val="auto"/>
        </w:rPr>
        <w:t>not the transactions contemplated hereby or thereby shall be consummated), (ii) all reasonable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by the L/C Issuer in connection with the issuance, amendment, renewal or extension of any Letter of Credit or any demand for payment thereunder and (iii) all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by the Administrative Agent, any Lender or the L/C Issuer (including the fees, charges and disbursements of one primary counsel and one additional local counsel in each applicable jurisdiction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during any workout, restructuring or negotiations in respect of such Loans or Letters of Credit.</w:t>
      </w:r>
    </w:p>
    <w:p>
      <w:pPr>
        <w:spacing w:after="0" w:line="194" w:lineRule="exact"/>
        <w:rPr>
          <w:sz w:val="20"/>
          <w:szCs w:val="20"/>
          <w:color w:val="auto"/>
        </w:rPr>
      </w:pPr>
    </w:p>
    <w:p>
      <w:pPr>
        <w:jc w:val="both"/>
        <w:ind w:left="300" w:right="299" w:firstLine="640"/>
        <w:spacing w:after="0"/>
        <w:tabs>
          <w:tab w:leader="none" w:pos="1321"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Company</w:t>
      </w:r>
      <w:r>
        <w:rPr>
          <w:rFonts w:ascii="Times New Roman" w:cs="Times New Roman" w:eastAsia="Times New Roman" w:hAnsi="Times New Roman"/>
          <w:sz w:val="20"/>
          <w:szCs w:val="20"/>
          <w:color w:val="auto"/>
        </w:rPr>
        <w:t>. The Company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other than such Indemnitee and its Related Parties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a breach in bad faith of such Indemnitee’s express obligations hereunder or under any other Loan Document, if the Company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201"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4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Company for any reason fails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7" w:name="page138"/>
    <w:bookmarkEnd w:id="137"/>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300" w:right="299" w:firstLine="640"/>
        <w:spacing w:after="0" w:line="242" w:lineRule="auto"/>
        <w:tabs>
          <w:tab w:leader="none" w:pos="130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Borrower shall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89"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2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2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10.02(e)</w:t>
      </w:r>
      <w:r>
        <w:rPr>
          <w:rFonts w:ascii="Times New Roman" w:cs="Times New Roman" w:eastAsia="Times New Roman" w:hAnsi="Times New Roman"/>
          <w:sz w:val="20"/>
          <w:szCs w:val="20"/>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79" w:lineRule="exact"/>
        <w:rPr>
          <w:rFonts w:ascii="Times New Roman" w:cs="Times New Roman" w:eastAsia="Times New Roman" w:hAnsi="Times New Roman"/>
          <w:sz w:val="20"/>
          <w:szCs w:val="20"/>
          <w:color w:val="auto"/>
        </w:rPr>
      </w:pPr>
    </w:p>
    <w:p>
      <w:pPr>
        <w:jc w:val="both"/>
        <w:ind w:left="300" w:right="299" w:firstLine="640"/>
        <w:spacing w:after="0" w:line="244" w:lineRule="auto"/>
        <w:tabs>
          <w:tab w:leader="none" w:pos="137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One Counsel</w:t>
      </w:r>
      <w:r>
        <w:rPr>
          <w:rFonts w:ascii="Times New Roman" w:cs="Times New Roman" w:eastAsia="Times New Roman" w:hAnsi="Times New Roman"/>
          <w:sz w:val="20"/>
          <w:szCs w:val="20"/>
          <w:color w:val="auto"/>
        </w:rPr>
        <w:t>. Notwithstanding anything contrary contained in the Loan Documents, Obligations and Additional Obligations of the Loan Parties with respect to legal fees and expenses shall be limited to one counsel for the Administrative Agent and all Lenders collectively (plus, in the case of one or more actual or potential conflicts of interest, one or more additional counsel for each class of similarly situated Persons) and, if reasonably necessary, of one local counsel for the Administrative Agent and all Lenders collectively in each relevant jurisdiction and one regulatory counsel in each relevant jurisdiction.</w:t>
      </w:r>
    </w:p>
    <w:p>
      <w:pPr>
        <w:spacing w:after="0" w:line="182"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b w:val="1"/>
          <w:bCs w:val="1"/>
          <w:color w:val="auto"/>
        </w:rPr>
        <w:t>10.05 Payments Set Aside</w:t>
      </w:r>
      <w:r>
        <w:rPr>
          <w:rFonts w:ascii="Times New Roman" w:cs="Times New Roman" w:eastAsia="Times New Roman" w:hAnsi="Times New Roman"/>
          <w:sz w:val="19"/>
          <w:szCs w:val="19"/>
          <w:color w:val="auto"/>
        </w:rPr>
        <w:t>. To the extent that any payment by or on behalf of any Borrower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preceding sentence shall survive the payment in full of the Obligations and the termination of this Agreement.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8" w:name="page139"/>
    <w:bookmarkEnd w:id="138"/>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56" w:lineRule="auto"/>
        <w:tabs>
          <w:tab w:leader="none" w:pos="1308"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4" w:lineRule="exact"/>
        <w:rPr>
          <w:rFonts w:ascii="Times New Roman" w:cs="Times New Roman" w:eastAsia="Times New Roman" w:hAnsi="Times New Roman"/>
          <w:sz w:val="19"/>
          <w:szCs w:val="19"/>
          <w:color w:val="auto"/>
        </w:rPr>
      </w:pPr>
    </w:p>
    <w:p>
      <w:pPr>
        <w:jc w:val="both"/>
        <w:ind w:left="300" w:right="299" w:hanging="8"/>
        <w:spacing w:after="0"/>
        <w:tabs>
          <w:tab w:leader="none" w:pos="57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 assignee in accordance with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308"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84"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2"/>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588" w:val="left"/>
        </w:tabs>
        <w:numPr>
          <w:ilvl w:val="3"/>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in the case of an assignment to a Lender, an Affiliate of a Lender or an Approved Fund, no minimum amount need be assigned; and</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588" w:val="left"/>
        </w:tabs>
        <w:numPr>
          <w:ilvl w:val="3"/>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48" w:val="left"/>
        </w:tabs>
        <w:numPr>
          <w:ilvl w:val="2"/>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to the Swing Line Lender’s rights and obligations in respect of Swing Line Loans.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9" w:name="page140"/>
    <w:bookmarkEnd w:id="139"/>
    <w:p>
      <w:pPr>
        <w:ind w:left="940" w:right="319" w:firstLine="648"/>
        <w:spacing w:after="0" w:line="269" w:lineRule="auto"/>
        <w:tabs>
          <w:tab w:leader="none" w:pos="196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 (b)(i)(B)</w:t>
      </w:r>
      <w:r>
        <w:rPr>
          <w:rFonts w:ascii="Times New Roman" w:cs="Times New Roman" w:eastAsia="Times New Roman" w:hAnsi="Times New Roman"/>
          <w:sz w:val="20"/>
          <w:szCs w:val="20"/>
          <w:color w:val="auto"/>
        </w:rPr>
        <w:t xml:space="preserve"> of this Section and, in addition:</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58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deemed to have consented to any such assignment unless it shall object thereto by written notice to the Administrative Agent within five Business Days after having received notice thereof;</w:t>
      </w:r>
    </w:p>
    <w:p>
      <w:pPr>
        <w:spacing w:after="0" w:line="185" w:lineRule="exact"/>
        <w:rPr>
          <w:rFonts w:ascii="Times New Roman" w:cs="Times New Roman" w:eastAsia="Times New Roman" w:hAnsi="Times New Roman"/>
          <w:sz w:val="20"/>
          <w:szCs w:val="20"/>
          <w:color w:val="auto"/>
        </w:rPr>
      </w:pPr>
    </w:p>
    <w:p>
      <w:pPr>
        <w:ind w:left="1580" w:right="319" w:firstLine="656"/>
        <w:spacing w:after="0" w:line="246" w:lineRule="auto"/>
        <w:tabs>
          <w:tab w:leader="none" w:pos="258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Commitment if such assignment is to a Person that is not a Lender with a Commitment in respect of the applicable Facility, an Affiliate of such Lender or an Approved Fund with respect to such Lender; and</w:t>
      </w:r>
    </w:p>
    <w:p>
      <w:pPr>
        <w:spacing w:after="0" w:line="184" w:lineRule="exact"/>
        <w:rPr>
          <w:rFonts w:ascii="Times New Roman" w:cs="Times New Roman" w:eastAsia="Times New Roman" w:hAnsi="Times New Roman"/>
          <w:sz w:val="20"/>
          <w:szCs w:val="20"/>
          <w:color w:val="auto"/>
        </w:rPr>
      </w:pPr>
    </w:p>
    <w:p>
      <w:pPr>
        <w:ind w:left="1580" w:right="299" w:firstLine="656"/>
        <w:spacing w:after="0" w:line="269" w:lineRule="auto"/>
        <w:tabs>
          <w:tab w:leader="none" w:pos="258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consent of the Swing Line Lender shall be required for any assignment in respect of the Committed Facility.</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7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6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to a holding company, investment vehicle or trust for, or owned and operated by or for the primary benefit of a natural Person).</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0" w:name="page141"/>
    <w:bookmarkEnd w:id="140"/>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w:t>
      </w:r>
    </w:p>
    <w:p>
      <w:pPr>
        <w:spacing w:after="0" w:line="193" w:lineRule="exact"/>
        <w:rPr>
          <w:sz w:val="20"/>
          <w:szCs w:val="20"/>
          <w:color w:val="auto"/>
        </w:rPr>
      </w:pPr>
    </w:p>
    <w:p>
      <w:pPr>
        <w:jc w:val="both"/>
        <w:ind w:left="300" w:right="299" w:firstLine="640"/>
        <w:spacing w:after="0" w:line="242" w:lineRule="auto"/>
        <w:tabs>
          <w:tab w:leader="none" w:pos="13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92" w:lineRule="exact"/>
        <w:rPr>
          <w:rFonts w:ascii="Times New Roman" w:cs="Times New Roman" w:eastAsia="Times New Roman" w:hAnsi="Times New Roman"/>
          <w:sz w:val="20"/>
          <w:szCs w:val="20"/>
          <w:color w:val="auto"/>
        </w:rPr>
      </w:pPr>
    </w:p>
    <w:p>
      <w:pPr>
        <w:jc w:val="both"/>
        <w:ind w:left="300" w:right="299" w:firstLine="640"/>
        <w:spacing w:after="0" w:line="241" w:lineRule="auto"/>
        <w:tabs>
          <w:tab w:leader="none" w:pos="13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without regard to the existence of any participation.</w:t>
      </w:r>
    </w:p>
    <w:p>
      <w:pPr>
        <w:spacing w:after="0" w:line="19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The Company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1" w:name="page142"/>
    <w:bookmarkEnd w:id="141"/>
    <w:p>
      <w:pPr>
        <w:jc w:val="both"/>
        <w:ind w:left="300" w:right="299"/>
        <w:spacing w:after="0"/>
        <w:rPr>
          <w:sz w:val="20"/>
          <w:szCs w:val="20"/>
          <w:color w:val="auto"/>
        </w:rPr>
      </w:pPr>
      <w:r>
        <w:rPr>
          <w:rFonts w:ascii="Times New Roman" w:cs="Times New Roman" w:eastAsia="Times New Roman" w:hAnsi="Times New Roman"/>
          <w:sz w:val="20"/>
          <w:szCs w:val="20"/>
          <w:color w:val="auto"/>
        </w:rPr>
        <w:t xml:space="preserve">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Code or U.S. Treasury Regulations, including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5" w:lineRule="exact"/>
        <w:rPr>
          <w:sz w:val="20"/>
          <w:szCs w:val="20"/>
          <w:color w:val="auto"/>
        </w:rPr>
      </w:pPr>
    </w:p>
    <w:p>
      <w:pPr>
        <w:jc w:val="both"/>
        <w:ind w:left="300" w:right="299" w:firstLine="640"/>
        <w:spacing w:after="0" w:line="246" w:lineRule="auto"/>
        <w:tabs>
          <w:tab w:leader="none" w:pos="1321"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3" w:lineRule="auto"/>
        <w:tabs>
          <w:tab w:leader="none" w:pos="1362"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L/C Issuer or Swing Line Lender after Assignment</w:t>
      </w:r>
      <w:r>
        <w:rPr>
          <w:rFonts w:ascii="Times New Roman" w:cs="Times New Roman" w:eastAsia="Times New Roman" w:hAnsi="Times New Roman"/>
          <w:sz w:val="19"/>
          <w:szCs w:val="19"/>
          <w:color w:val="auto"/>
        </w:rPr>
        <w:t xml:space="preserve">. Notwithstanding anything to the contrary contained herein, if at any time Bank of America assigns all of its Commitment and Committed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Bank of America may, (i) upon 30 days’ notice to the Company and the Committed Lenders, resign as L/C Issuer and/or (ii)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Committed Lenders to make Base Rate Committed Loans or fund risk participations in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Committed Lenders to make Base Rate Committed Loans or fund risk participations in outstanding Swing 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of a successor L/C Issuer and/or Swing Line Lender,</w:t>
      </w:r>
    </w:p>
    <w:p>
      <w:pPr>
        <w:spacing w:after="0" w:line="8" w:lineRule="exact"/>
        <w:rPr>
          <w:rFonts w:ascii="Times New Roman" w:cs="Times New Roman" w:eastAsia="Times New Roman" w:hAnsi="Times New Roman"/>
          <w:sz w:val="19"/>
          <w:szCs w:val="19"/>
          <w:color w:val="auto"/>
        </w:rPr>
      </w:pPr>
    </w:p>
    <w:p>
      <w:pPr>
        <w:jc w:val="both"/>
        <w:ind w:left="300" w:right="299" w:hanging="8"/>
        <w:spacing w:after="0" w:line="241" w:lineRule="auto"/>
        <w:tabs>
          <w:tab w:leader="none" w:pos="57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2" w:name="page143"/>
    <w:bookmarkEnd w:id="142"/>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or make other arrangements satisfactory to Bank of America to effectively assume the obligations of Bank of America with respect to such Letters of Credit.</w:t>
      </w:r>
    </w:p>
    <w:p>
      <w:pPr>
        <w:spacing w:after="0" w:line="15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b w:val="1"/>
          <w:bCs w:val="1"/>
          <w:color w:val="auto"/>
        </w:rPr>
        <w:t xml:space="preserve">10.07 Treatment of Certain Information; Confidentiality </w:t>
      </w:r>
      <w:r>
        <w:rPr>
          <w:rFonts w:ascii="Times New Roman" w:cs="Times New Roman" w:eastAsia="Times New Roman" w:hAnsi="Times New Roman"/>
          <w:sz w:val="20"/>
          <w:szCs w:val="20"/>
          <w:color w:val="auto"/>
        </w:rPr>
        <w:t>. Each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the Lenders and the L/C Issuer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or (ii) any actual or prospective party (or its Related Parties) to any swap, derivative, securitization or other transaction under which payments are to be made by reference to any of the Borrowers and their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the L/C Issuer or any of their respective Affiliates on a nonconfidential basis from a source other than the Company or any Related Party thereof, or (z) is independently discovered or developed by a party hereto without utilizing any Information received from the Company or any Related Party thereof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5" w:lineRule="exact"/>
        <w:rPr>
          <w:sz w:val="20"/>
          <w:szCs w:val="20"/>
          <w:color w:val="auto"/>
        </w:rPr>
      </w:pPr>
    </w:p>
    <w:p>
      <w:pPr>
        <w:jc w:val="both"/>
        <w:ind w:left="300" w:right="299" w:firstLine="648"/>
        <w:spacing w:after="0" w:line="257" w:lineRule="auto"/>
        <w:rPr>
          <w:sz w:val="20"/>
          <w:szCs w:val="20"/>
          <w:color w:val="auto"/>
        </w:rPr>
      </w:pPr>
      <w:r>
        <w:rPr>
          <w:rFonts w:ascii="Times New Roman" w:cs="Times New Roman" w:eastAsia="Times New Roman" w:hAnsi="Times New Roman"/>
          <w:sz w:val="19"/>
          <w:szCs w:val="19"/>
          <w:color w:val="auto"/>
        </w:rPr>
        <w:t xml:space="preserve">For purposes of this Section, “Information” means all information received from the Company or any Related Party thereof relating to the Company or any Subsidiary or any of their respective businesses, other than any such information that is available to the Administrative Agent, any Lender or the L/C Issuer on a nonconfidential basis prior to disclosure by the Company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Company or any Related Party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3" w:name="page144"/>
    <w:bookmarkEnd w:id="143"/>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The Company consents to the publication by the Administrative Agent or any Lender of customary advertising material relating to the transactions contemplated hereby using the name, product photographs, logo or trademark of the Company.</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0"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b w:val="1"/>
          <w:bCs w:val="1"/>
          <w:color w:val="auto"/>
        </w:rPr>
        <w:t xml:space="preserve">10.08 Right of Setoff </w:t>
      </w:r>
      <w:r>
        <w:rPr>
          <w:rFonts w:ascii="Times New Roman" w:cs="Times New Roman" w:eastAsia="Times New Roman" w:hAnsi="Times New Roman"/>
          <w:sz w:val="20"/>
          <w:szCs w:val="20"/>
          <w:color w:val="auto"/>
        </w:rPr>
        <w:t>. If an Event of Default shall have occurred and be continuing,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Company or any other Loan Party against any and all of the obligations of the Company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Company or such Loan Party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Guaranteed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20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10.09 Interest Rate Limitation</w:t>
      </w:r>
      <w:r>
        <w:rPr>
          <w:rFonts w:ascii="Times New Roman" w:cs="Times New Roman" w:eastAsia="Times New Roman" w:hAnsi="Times New Roman"/>
          <w:sz w:val="20"/>
          <w:szCs w:val="20"/>
          <w:color w:val="auto"/>
        </w:rPr>
        <w:t>. Notwithstanding anything to the contrary contained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0"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10.10 Integration; Effectiveness </w:t>
      </w:r>
      <w:r>
        <w:rPr>
          <w:rFonts w:ascii="Times New Roman" w:cs="Times New Roman" w:eastAsia="Times New Roman" w:hAnsi="Times New Roman"/>
          <w:sz w:val="19"/>
          <w:szCs w:val="19"/>
          <w:color w:val="auto"/>
        </w:rPr>
        <w:t>. This Agreement, the other Loan Documents, 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20"/>
          <w:szCs w:val="20"/>
          <w:color w:val="auto"/>
        </w:rPr>
        <w:t>counterpart of a signature page of this Agreement by facsimile or other electronic imaging means (e.g.</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“pdf” or “tif”) shall be effective as delivery of a manually executed counterpart of this Agreement.</w:t>
      </w:r>
    </w:p>
    <w:p>
      <w:pPr>
        <w:spacing w:after="0" w:line="190"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b w:val="1"/>
          <w:bCs w:val="1"/>
          <w:color w:val="auto"/>
        </w:rPr>
        <w:t xml:space="preserve">10.11 Survival of Representations and Warranties; Release </w:t>
      </w:r>
      <w:r>
        <w:rPr>
          <w:rFonts w:ascii="Times New Roman" w:cs="Times New Roman" w:eastAsia="Times New Roman" w:hAnsi="Times New Roman"/>
          <w:sz w:val="20"/>
          <w:szCs w:val="20"/>
          <w:color w:val="auto"/>
        </w:rPr>
        <w:t>. All representations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Administrative Agent agrees to release any Subsidiary Guarantor from its obligations under the Guaranty and each other Loan Document to which it is a party if such Person ceases to be a Restricted Subsidiary as a result of a transaction permitted under the Loan Documents or is designated as an Unrestricted Subsidiary pursuant to and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On the Facility Termination Date, the Guaranty and all obligations (other than those expressly stated to survive such termination) of each Subsidiary Guarantor thereunder shall automatically terminate, all without delivery of any instrument or performance of any act by any Person.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Notwithstanding anything to the contrary in this Agreement or any other Loan Document, (a) if any Subsidiary Guarantor was to be released due to becoming an Excluded Subsidiary pursuant to clause (a) of the definition of Excluded Subsidiary, then such release shall occur solely if (i) after giving pro forma effect to such release and the consummation of any concurrent transactions, the Loan Parties would be permitted to make any then-existing Investments in such released Subsidiary Guarantor at such time and (ii) such transaction shall have been entered into for a bona fide business purpose with a Person that is not an Affiliate of any Borrower.</w:t>
      </w:r>
    </w:p>
    <w:p>
      <w:pPr>
        <w:spacing w:after="0" w:line="204" w:lineRule="exact"/>
        <w:rPr>
          <w:sz w:val="20"/>
          <w:szCs w:val="20"/>
          <w:color w:val="auto"/>
        </w:rPr>
      </w:pPr>
    </w:p>
    <w:p>
      <w:pPr>
        <w:jc w:val="both"/>
        <w:ind w:left="300" w:right="299" w:firstLine="648"/>
        <w:spacing w:after="0" w:line="261" w:lineRule="auto"/>
        <w:rPr>
          <w:sz w:val="20"/>
          <w:szCs w:val="20"/>
          <w:color w:val="auto"/>
        </w:rPr>
      </w:pPr>
      <w:r>
        <w:rPr>
          <w:rFonts w:ascii="Times New Roman" w:cs="Times New Roman" w:eastAsia="Times New Roman" w:hAnsi="Times New Roman"/>
          <w:sz w:val="19"/>
          <w:szCs w:val="19"/>
          <w:b w:val="1"/>
          <w:bCs w:val="1"/>
          <w:color w:val="auto"/>
        </w:rPr>
        <w:t>10.12 Severability</w:t>
      </w:r>
      <w:r>
        <w:rPr>
          <w:rFonts w:ascii="Times New Roman" w:cs="Times New Roman" w:eastAsia="Times New Roman" w:hAnsi="Times New Roman"/>
          <w:sz w:val="19"/>
          <w:szCs w:val="19"/>
          <w:color w:val="auto"/>
        </w:rPr>
        <w:t>. If any provision of this Agreement or the other Loan Documents is held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illegal, invalid or unenforceable, (a) the legality, validity and enforceability of the remaining provisions of this Agreement and the other Loan Documents shall not be affected or impaired thereby and</w:t>
      </w:r>
    </w:p>
    <w:p>
      <w:pPr>
        <w:spacing w:after="0" w:line="2" w:lineRule="exact"/>
        <w:rPr>
          <w:sz w:val="20"/>
          <w:szCs w:val="20"/>
          <w:color w:val="auto"/>
        </w:rPr>
      </w:pPr>
    </w:p>
    <w:p>
      <w:pPr>
        <w:jc w:val="both"/>
        <w:ind w:left="300" w:right="299" w:hanging="8"/>
        <w:spacing w:after="0"/>
        <w:tabs>
          <w:tab w:leader="none" w:pos="60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10.13 Replacement of Lenders</w:t>
      </w:r>
      <w:r>
        <w:rPr>
          <w:rFonts w:ascii="Times New Roman" w:cs="Times New Roman" w:eastAsia="Times New Roman" w:hAnsi="Times New Roman"/>
          <w:sz w:val="20"/>
          <w:szCs w:val="20"/>
          <w:color w:val="auto"/>
        </w:rPr>
        <w:t>. If the Company is entitled to replace a Lender or the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Company the right to replace a Lender as a party hereto, then the Company may, at its sole expense and effort, upon notice to such Lender or the L/C Issuer and the Administrative Agent, require such Lender or the L/C Issuer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and obligations under this Agreement and the related Loan Documents to an Eligible Assignee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5" w:name="page146"/>
    <w:bookmarkEnd w:id="145"/>
    <w:p>
      <w:pPr>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that shall assume such obligations (which assignee may be another Lender or the L/C Issuer, if a Lender or the L/C Issuer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jc w:val="both"/>
        <w:ind w:left="300" w:right="299" w:firstLine="640"/>
        <w:spacing w:after="0" w:line="246" w:lineRule="auto"/>
        <w:tabs>
          <w:tab w:leader="none" w:pos="130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or applicable Designated Borrower (in the case of all other amounts);</w:t>
      </w:r>
    </w:p>
    <w:p>
      <w:pPr>
        <w:spacing w:after="0" w:line="184"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0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30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94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00" w:right="299" w:firstLine="640"/>
        <w:spacing w:after="0" w:line="244" w:lineRule="auto"/>
        <w:tabs>
          <w:tab w:leader="none" w:pos="133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6" w:name="page147"/>
    <w:bookmarkEnd w:id="146"/>
    <w:p>
      <w:pPr>
        <w:jc w:val="both"/>
        <w:ind w:left="300" w:right="299" w:firstLine="640"/>
        <w:spacing w:after="0" w:line="241" w:lineRule="auto"/>
        <w:tabs>
          <w:tab w:leader="none" w:pos="136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PARTIES HERETO HEREBY IRREVOCABLY AND UNCONDITIONALLY SUBMITS TO THE JURISDICTION OF THE COURTS OF THE STATE OF NEW YORK SITTING IN NEW YORK COUNTY AND OF THE UNITED STATES DISTRICT COURT OF THE SOUTHERN DISTRICT OF NEW YORK, AND ANY APPELLATE COURT FROM ANY THEREOF, AND EACH OF THE PARTIES HERETO IRREVOCABLY AND UNCONDITIONALLY WAIVES THE RIGHT TO ANY OTHER JURISDICTION TO WHICH IT MAY BE ENTITLED BY REASON OF DOMICILE, PLACE OF RESIDENCE OR ANY OTHER REASON AND AGREES THAT ALL CLAIMS IN RESPECT OF ANY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95"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4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300" w:right="299" w:firstLine="640"/>
        <w:spacing w:after="0" w:line="249" w:lineRule="auto"/>
        <w:tabs>
          <w:tab w:leader="none" w:pos="133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10.15 Waiver of Jury Trial. </w:t>
      </w:r>
      <w:r>
        <w:rPr>
          <w:rFonts w:ascii="Times New Roman" w:cs="Times New Roman" w:eastAsia="Times New Roman" w:hAnsi="Times New Roman"/>
          <w:sz w:val="20"/>
          <w:szCs w:val="20"/>
          <w:color w:val="auto"/>
        </w:rPr>
        <w:t>EACH PARTY HERETO HEREBY IRREVOCABLY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10.16 No Advisory or Fiduciary Responsibility </w:t>
      </w:r>
      <w:r>
        <w:rPr>
          <w:rFonts w:ascii="Times New Roman" w:cs="Times New Roman" w:eastAsia="Times New Roman" w:hAnsi="Times New Roman"/>
          <w:sz w:val="20"/>
          <w:szCs w:val="20"/>
          <w:color w:val="auto"/>
        </w:rPr>
        <w:t>. In connection with all aspects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contemplated hereby (including in connection with any amendment, waiver or other modification hereof or of any other Loan Document), the Company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Company, each other Loan Party and their respective Affiliates, on the one hand, and the Administrative Agent, the Arrangers and the Lenders, on the other hand, (B) each of the Company and the other Loan Parties has consulted its own legal, accounting, regulatory and tax advisors to the extent it has deemed appropriate, and (C) the Company and each other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7" w:name="page148"/>
    <w:bookmarkEnd w:id="147"/>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any Arranger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Company, the other Loan Parties and their respective Affiliates, and neither the Administrative Agent, any Arranger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any Arranger or any Lender with respect to any breach or alleged breach of agency or fiduciary duty in connection with any aspect of any transaction contemplated hereby.</w:t>
      </w:r>
    </w:p>
    <w:p>
      <w:pPr>
        <w:spacing w:after="0" w:line="189"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b w:val="1"/>
          <w:bCs w:val="1"/>
          <w:color w:val="auto"/>
        </w:rPr>
        <w:t>10.17 Electronic Execution; Electronic Records; Counterparts</w:t>
      </w:r>
      <w:r>
        <w:rPr>
          <w:rFonts w:ascii="Times New Roman" w:cs="Times New Roman" w:eastAsia="Times New Roman" w:hAnsi="Times New Roman"/>
          <w:sz w:val="20"/>
          <w:szCs w:val="20"/>
          <w:color w:val="auto"/>
        </w:rPr>
        <w:t>. This Agreement, any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the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(a) to the extent the Administrative Agent, an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207"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Swing Line Lender’s reliance on any Electronic Signature transmitted by telecopy, emailed .pdf or any other electronic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8" w:name="page149"/>
    <w:bookmarkEnd w:id="148"/>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means). The Administrative Agent, L/C Issuers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Each of the Loan Parties and each Lender Party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10.18 USA PATRIOT Act and Canadian AML Act Notice</w:t>
      </w:r>
      <w:r>
        <w:rPr>
          <w:rFonts w:ascii="Times New Roman" w:cs="Times New Roman" w:eastAsia="Times New Roman" w:hAnsi="Times New Roman"/>
          <w:sz w:val="20"/>
          <w:szCs w:val="20"/>
          <w:color w:val="auto"/>
        </w:rPr>
        <w:t>. Each Lender that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Act (as hereinafter defined) or any Canadian AML Act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and the Canadian AML Acts,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and the Canadian AML Acts.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Canadian AML Acts.</w:t>
      </w:r>
    </w:p>
    <w:p>
      <w:pPr>
        <w:spacing w:after="0" w:line="187"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10.19 Judgment Currency </w:t>
      </w:r>
      <w:r>
        <w:rPr>
          <w:rFonts w:ascii="Times New Roman" w:cs="Times New Roman" w:eastAsia="Times New Roman" w:hAnsi="Times New Roman"/>
          <w:sz w:val="20"/>
          <w:szCs w:val="20"/>
          <w:color w:val="auto"/>
        </w:rPr>
        <w:t>. If, for the purposes of obtaining judgment in any court, it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89" w:lineRule="exact"/>
        <w:rPr>
          <w:sz w:val="20"/>
          <w:szCs w:val="20"/>
          <w:color w:val="auto"/>
        </w:rPr>
      </w:pPr>
    </w:p>
    <w:p>
      <w:pPr>
        <w:jc w:val="both"/>
        <w:ind w:left="300" w:right="3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10.20 Acknowledgement and Consent to Bail-In of Affected Financial Institutions. </w:t>
      </w: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9" w:name="page150"/>
    <w:bookmarkEnd w:id="149"/>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4" w:lineRule="exact"/>
        <w:rPr>
          <w:sz w:val="20"/>
          <w:szCs w:val="20"/>
          <w:color w:val="auto"/>
        </w:rPr>
      </w:pPr>
    </w:p>
    <w:p>
      <w:pPr>
        <w:jc w:val="both"/>
        <w:ind w:left="300" w:right="299" w:firstLine="640"/>
        <w:spacing w:after="0" w:line="254" w:lineRule="auto"/>
        <w:tabs>
          <w:tab w:leader="none" w:pos="130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4"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940" w:hanging="352"/>
        <w:spacing w:after="0"/>
        <w:tabs>
          <w:tab w:leader="none" w:pos="194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4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4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10.21 Acknowledgement Regarding Any Supported QFCs </w:t>
      </w:r>
      <w:r>
        <w:rPr>
          <w:rFonts w:ascii="Times New Roman" w:cs="Times New Roman" w:eastAsia="Times New Roman" w:hAnsi="Times New Roman"/>
          <w:sz w:val="20"/>
          <w:szCs w:val="20"/>
          <w:color w:val="auto"/>
        </w:rPr>
        <w:t>. To the extent that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w:t>
      </w:r>
      <w:r>
        <w:rPr>
          <w:rFonts w:ascii="Times New Roman" w:cs="Times New Roman" w:eastAsia="Times New Roman" w:hAnsi="Times New Roman"/>
          <w:sz w:val="20"/>
          <w:szCs w:val="20"/>
          <w:color w:val="auto"/>
        </w:rPr>
        <w:t>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6" w:lineRule="exact"/>
        <w:rPr>
          <w:sz w:val="20"/>
          <w:szCs w:val="20"/>
          <w:color w:val="auto"/>
        </w:rPr>
      </w:pPr>
    </w:p>
    <w:p>
      <w:pPr>
        <w:jc w:val="both"/>
        <w:ind w:left="300" w:right="299" w:firstLine="640"/>
        <w:spacing w:after="0" w:line="241" w:lineRule="auto"/>
        <w:tabs>
          <w:tab w:leader="none" w:pos="130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 Covered Entity that is party to a Supported QFC (each, a “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rFonts w:ascii="Times New Roman" w:cs="Times New Roman" w:eastAsia="Times New Roman" w:hAnsi="Times New Roman"/>
          <w:sz w:val="20"/>
          <w:szCs w:val="20"/>
          <w:color w:val="auto"/>
        </w:rPr>
      </w:pPr>
    </w:p>
    <w:p>
      <w:pPr>
        <w:ind w:left="1300" w:hanging="360"/>
        <w:spacing w:after="0"/>
        <w:tabs>
          <w:tab w:leader="none" w:pos="13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the following terms have the following meanings: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0" w:name="page151"/>
    <w:bookmarkEnd w:id="150"/>
    <w:p>
      <w:pPr>
        <w:jc w:val="both"/>
        <w:ind w:left="94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94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5" w:lineRule="exact"/>
        <w:rPr>
          <w:sz w:val="20"/>
          <w:szCs w:val="20"/>
          <w:color w:val="auto"/>
        </w:rPr>
      </w:pPr>
    </w:p>
    <w:p>
      <w:pPr>
        <w:jc w:val="both"/>
        <w:ind w:left="94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94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575945</wp:posOffset>
            </wp:positionV>
            <wp:extent cx="70377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1" w:name="page152"/>
    <w:bookmarkEnd w:id="151"/>
    <w:p>
      <w:pPr>
        <w:ind w:left="300" w:right="319"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 WITNESS WHEREOF, </w:t>
      </w:r>
      <w:r>
        <w:rPr>
          <w:rFonts w:ascii="Times New Roman" w:cs="Times New Roman" w:eastAsia="Times New Roman" w:hAnsi="Times New Roman"/>
          <w:sz w:val="20"/>
          <w:szCs w:val="20"/>
          <w:color w:val="auto"/>
        </w:rPr>
        <w:t>the parties hereto have caused this Agreement to be duly executed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date first above written.</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WATSCO, INC.</w:t>
      </w:r>
    </w:p>
    <w:p>
      <w:pPr>
        <w:spacing w:after="0" w:line="200" w:lineRule="exact"/>
        <w:rPr>
          <w:sz w:val="20"/>
          <w:szCs w:val="20"/>
          <w:color w:val="auto"/>
        </w:rPr>
      </w:pPr>
    </w:p>
    <w:p>
      <w:pPr>
        <w:spacing w:after="0" w:line="24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Pr>
          <w:p>
            <w:pPr>
              <w:spacing w:after="0"/>
              <w:rPr>
                <w:sz w:val="19"/>
                <w:szCs w:val="19"/>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Ana M. Menendez</w:t>
            </w:r>
          </w:p>
        </w:tc>
        <w:tc>
          <w:tcPr>
            <w:tcW w:w="1000" w:type="dxa"/>
            <w:vAlign w:val="bottom"/>
          </w:tcPr>
          <w:p>
            <w:pPr>
              <w:spacing w:after="0"/>
              <w:rPr>
                <w:sz w:val="19"/>
                <w:szCs w:val="19"/>
                <w:color w:val="auto"/>
              </w:rPr>
            </w:pPr>
          </w:p>
        </w:tc>
      </w:tr>
      <w:tr>
        <w:trPr>
          <w:trHeight w:val="227"/>
        </w:trPr>
        <w:tc>
          <w:tcPr>
            <w:tcW w:w="5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40" w:type="dxa"/>
            <w:vAlign w:val="bottom"/>
          </w:tcPr>
          <w:p>
            <w:pPr>
              <w:spacing w:after="0"/>
              <w:rPr>
                <w:sz w:val="19"/>
                <w:szCs w:val="19"/>
                <w:color w:val="auto"/>
              </w:rPr>
            </w:pPr>
          </w:p>
        </w:tc>
        <w:tc>
          <w:tcPr>
            <w:tcW w:w="31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Ana M. Menendez</w:t>
            </w: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Vice President, Chief Financial Officer,</w:t>
            </w:r>
          </w:p>
        </w:tc>
      </w:tr>
      <w:tr>
        <w:trPr>
          <w:trHeight w:val="258"/>
        </w:trPr>
        <w:tc>
          <w:tcPr>
            <w:tcW w:w="580" w:type="dxa"/>
            <w:vAlign w:val="bottom"/>
          </w:tcPr>
          <w:p>
            <w:pPr>
              <w:spacing w:after="0"/>
              <w:rPr>
                <w:sz w:val="22"/>
                <w:szCs w:val="22"/>
                <w:color w:val="auto"/>
              </w:rPr>
            </w:pP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Treasurer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2" w:name="page153"/>
    <w:bookmarkEnd w:id="152"/>
    <w:p>
      <w:pPr>
        <w:ind w:left="418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05"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David J. Smith</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David J. Smith</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3" w:name="page154"/>
    <w:bookmarkEnd w:id="153"/>
    <w:p>
      <w:pPr>
        <w:ind w:left="418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as a Lender, L/C Issuer and Swing Line Lender</w:t>
      </w:r>
    </w:p>
    <w:p>
      <w:pPr>
        <w:spacing w:after="0" w:line="200" w:lineRule="exact"/>
        <w:rPr>
          <w:sz w:val="20"/>
          <w:szCs w:val="20"/>
          <w:color w:val="auto"/>
        </w:rPr>
      </w:pPr>
    </w:p>
    <w:p>
      <w:pPr>
        <w:spacing w:after="0" w:line="230"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Nadege J. Henry</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Nadege J. Henry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4" w:name="page155"/>
    <w:bookmarkEnd w:id="154"/>
    <w:p>
      <w:pPr>
        <w:ind w:left="418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 Price</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8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Will Price</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5" w:name="page156"/>
    <w:bookmarkEnd w:id="155"/>
    <w:p>
      <w:pPr>
        <w:ind w:left="418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Jennifer Banks</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Jennifer Banks</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6" w:name="page157"/>
    <w:bookmarkEnd w:id="156"/>
    <w:p>
      <w:pPr>
        <w:ind w:left="418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Oshin Vartanian</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Oshin Vartanian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7" w:name="page158"/>
    <w:bookmarkEnd w:id="157"/>
    <w:p>
      <w:pPr>
        <w:ind w:left="4180"/>
        <w:spacing w:after="0"/>
        <w:rPr>
          <w:sz w:val="20"/>
          <w:szCs w:val="20"/>
          <w:color w:val="auto"/>
        </w:rPr>
      </w:pPr>
      <w:r>
        <w:rPr>
          <w:rFonts w:ascii="Times New Roman" w:cs="Times New Roman" w:eastAsia="Times New Roman" w:hAnsi="Times New Roman"/>
          <w:sz w:val="19"/>
          <w:szCs w:val="19"/>
          <w:b w:val="1"/>
          <w:bCs w:val="1"/>
          <w:color w:val="auto"/>
        </w:rPr>
        <w:t>WELLS FARGO BANK, NATIONAL</w:t>
      </w:r>
    </w:p>
    <w:p>
      <w:pPr>
        <w:spacing w:after="0" w:line="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ASSOCIATION</w:t>
      </w:r>
    </w:p>
    <w:p>
      <w:pPr>
        <w:spacing w:after="0" w:line="200" w:lineRule="exact"/>
        <w:rPr>
          <w:sz w:val="20"/>
          <w:szCs w:val="20"/>
          <w:color w:val="auto"/>
        </w:rPr>
      </w:pPr>
    </w:p>
    <w:p>
      <w:pPr>
        <w:spacing w:after="0" w:line="218"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Angela Terra</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Angela Terra</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8" w:name="page159"/>
    <w:bookmarkEnd w:id="158"/>
    <w:p>
      <w:pPr>
        <w:ind w:left="4180"/>
        <w:spacing w:after="0"/>
        <w:rPr>
          <w:sz w:val="20"/>
          <w:szCs w:val="20"/>
          <w:color w:val="auto"/>
        </w:rPr>
      </w:pPr>
      <w:r>
        <w:rPr>
          <w:rFonts w:ascii="Times New Roman" w:cs="Times New Roman" w:eastAsia="Times New Roman" w:hAnsi="Times New Roman"/>
          <w:sz w:val="19"/>
          <w:szCs w:val="19"/>
          <w:b w:val="1"/>
          <w:bCs w:val="1"/>
          <w:color w:val="auto"/>
        </w:rPr>
        <w:t>FIFTH THIRD BANK, NATIONAL ASSOCIATION</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Kyle B. Erickson</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Kyle B. Erickson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59" w:name="page160"/>
    <w:bookmarkEnd w:id="159"/>
    <w:p>
      <w:pPr>
        <w:ind w:left="4180"/>
        <w:spacing w:after="0"/>
        <w:rPr>
          <w:sz w:val="20"/>
          <w:szCs w:val="20"/>
          <w:color w:val="auto"/>
        </w:rPr>
      </w:pPr>
      <w:r>
        <w:rPr>
          <w:rFonts w:ascii="Times New Roman" w:cs="Times New Roman" w:eastAsia="Times New Roman" w:hAnsi="Times New Roman"/>
          <w:sz w:val="19"/>
          <w:szCs w:val="19"/>
          <w:b w:val="1"/>
          <w:bCs w:val="1"/>
          <w:color w:val="auto"/>
        </w:rPr>
        <w:t>THE NORTHERN TRUST COMPANY</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Mike Fornal</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Mike Fornal</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0" w:name="page161"/>
    <w:bookmarkEnd w:id="160"/>
    <w:p>
      <w:pPr>
        <w:ind w:left="4180"/>
        <w:spacing w:after="0"/>
        <w:rPr>
          <w:sz w:val="20"/>
          <w:szCs w:val="20"/>
          <w:color w:val="auto"/>
        </w:rPr>
      </w:pPr>
      <w:r>
        <w:rPr>
          <w:rFonts w:ascii="Times New Roman" w:cs="Times New Roman" w:eastAsia="Times New Roman" w:hAnsi="Times New Roman"/>
          <w:sz w:val="20"/>
          <w:szCs w:val="20"/>
          <w:b w:val="1"/>
          <w:bCs w:val="1"/>
          <w:color w:val="auto"/>
        </w:rPr>
        <w:t>BANK OF MONTREAL</w:t>
      </w:r>
    </w:p>
    <w:p>
      <w:pPr>
        <w:spacing w:after="0" w:line="200" w:lineRule="exact"/>
        <w:rPr>
          <w:sz w:val="20"/>
          <w:szCs w:val="20"/>
          <w:color w:val="auto"/>
        </w:rPr>
      </w:pPr>
    </w:p>
    <w:p>
      <w:pPr>
        <w:spacing w:after="0" w:line="24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Hasenauer</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5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Thomas Hasenauer</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1" w:name="page162"/>
    <w:bookmarkEnd w:id="161"/>
    <w:p>
      <w:pPr>
        <w:ind w:left="4180"/>
        <w:spacing w:after="0"/>
        <w:rPr>
          <w:sz w:val="20"/>
          <w:szCs w:val="20"/>
          <w:color w:val="auto"/>
        </w:rPr>
      </w:pPr>
      <w:r>
        <w:rPr>
          <w:rFonts w:ascii="Times New Roman" w:cs="Times New Roman" w:eastAsia="Times New Roman" w:hAnsi="Times New Roman"/>
          <w:sz w:val="19"/>
          <w:szCs w:val="19"/>
          <w:b w:val="1"/>
          <w:bCs w:val="1"/>
          <w:color w:val="auto"/>
        </w:rPr>
        <w:t>THE HUNTINGTON NATIONAL BANK</w:t>
      </w:r>
    </w:p>
    <w:p>
      <w:pPr>
        <w:spacing w:after="0" w:line="200" w:lineRule="exact"/>
        <w:rPr>
          <w:sz w:val="20"/>
          <w:szCs w:val="20"/>
          <w:color w:val="auto"/>
        </w:rPr>
      </w:pPr>
    </w:p>
    <w:p>
      <w:pPr>
        <w:spacing w:after="0" w:line="25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Lyman</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Scott Lyman</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2" w:name="page163"/>
    <w:bookmarkEnd w:id="162"/>
    <w:p>
      <w:pPr>
        <w:ind w:left="4180"/>
        <w:spacing w:after="0"/>
        <w:rPr>
          <w:sz w:val="20"/>
          <w:szCs w:val="20"/>
          <w:color w:val="auto"/>
        </w:rPr>
      </w:pPr>
      <w:r>
        <w:rPr>
          <w:rFonts w:ascii="Times New Roman" w:cs="Times New Roman" w:eastAsia="Times New Roman" w:hAnsi="Times New Roman"/>
          <w:sz w:val="20"/>
          <w:szCs w:val="20"/>
          <w:b w:val="1"/>
          <w:bCs w:val="1"/>
          <w:color w:val="auto"/>
        </w:rPr>
        <w:t>REGIONS BANK</w:t>
      </w:r>
    </w:p>
    <w:p>
      <w:pPr>
        <w:spacing w:after="0" w:line="200" w:lineRule="exact"/>
        <w:rPr>
          <w:sz w:val="20"/>
          <w:szCs w:val="20"/>
          <w:color w:val="auto"/>
        </w:rPr>
      </w:pPr>
    </w:p>
    <w:p>
      <w:pPr>
        <w:spacing w:after="0" w:line="24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Matthew A. Warnaka</w:t>
            </w:r>
          </w:p>
        </w:tc>
      </w:tr>
      <w:tr>
        <w:trPr>
          <w:trHeight w:val="227"/>
        </w:trPr>
        <w:tc>
          <w:tcPr>
            <w:tcW w:w="7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Matthew A. Warnaka</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Watsco,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lvl w:ilvl="1">
      <w:lvlJc w:val="left"/>
      <w:lvlText w:val="%2"/>
      <w:numFmt w:val="decimal"/>
      <w:start w:val="104"/>
    </w:lvl>
  </w:abstractNum>
  <w:abstractNum w:abstractNumId="2">
    <w:nsid w:val="53299938"/>
    <w:multiLevelType w:val="hybridMultilevel"/>
    <w:lvl w:ilvl="0">
      <w:lvlJc w:val="left"/>
      <w:lvlText w:val="A"/>
      <w:numFmt w:val="bullet"/>
      <w:start w:val="1"/>
    </w:lvl>
  </w:abstractNum>
  <w:abstractNum w:abstractNumId="3">
    <w:nsid w:val="1FBFE8E0"/>
    <w:multiLevelType w:val="hybridMultilevel"/>
    <w:lvl w:ilvl="0">
      <w:lvlJc w:val="left"/>
      <w:lvlText w:val="B"/>
      <w:numFmt w:val="bullet"/>
      <w:start w:val="1"/>
    </w:lvl>
  </w:abstractNum>
  <w:abstractNum w:abstractNumId="4">
    <w:nsid w:val="5092CA79"/>
    <w:multiLevelType w:val="hybridMultilevel"/>
    <w:lvl w:ilvl="0">
      <w:lvlJc w:val="left"/>
      <w:lvlText w:val="D"/>
      <w:numFmt w:val="bullet"/>
      <w:start w:val="1"/>
    </w:lvl>
  </w:abstractNum>
  <w:abstractNum w:abstractNumId="5">
    <w:nsid w:val="1D545C4D"/>
    <w:multiLevelType w:val="hybridMultilevel"/>
    <w:lvl w:ilvl="0">
      <w:lvlJc w:val="left"/>
      <w:lvlText w:val="E"/>
      <w:numFmt w:val="bullet"/>
      <w:start w:val="1"/>
    </w:lvl>
  </w:abstractNum>
  <w:abstractNum w:abstractNumId="6">
    <w:nsid w:val="59ADEA3D"/>
    <w:multiLevelType w:val="hybridMultilevel"/>
    <w:lvl w:ilvl="0">
      <w:lvlJc w:val="left"/>
      <w:lvlText w:val="F"/>
      <w:numFmt w:val="bullet"/>
      <w:start w:val="1"/>
    </w:lvl>
  </w:abstractNum>
  <w:abstractNum w:abstractNumId="7">
    <w:nsid w:val="288F1A34"/>
    <w:multiLevelType w:val="hybridMultilevel"/>
    <w:lvl w:ilvl="0">
      <w:lvlJc w:val="left"/>
      <w:lvlText w:val="G"/>
      <w:numFmt w:val="bullet"/>
      <w:start w:val="1"/>
    </w:lvl>
  </w:abstractNum>
  <w:abstractNum w:abstractNumId="8">
    <w:nsid w:val="2A155DBC"/>
    <w:multiLevelType w:val="hybridMultilevel"/>
    <w:lvl w:ilvl="0">
      <w:lvlJc w:val="left"/>
      <w:lvlText w:val="H"/>
      <w:numFmt w:val="bullet"/>
      <w:start w:val="1"/>
    </w:lvl>
  </w:abstractNum>
  <w:abstractNum w:abstractNumId="9">
    <w:nsid w:val="1D9F6E5F"/>
    <w:multiLevelType w:val="hybridMultilevel"/>
    <w:lvl w:ilvl="0">
      <w:lvlJc w:val="left"/>
      <w:lvlText w:val="J"/>
      <w:numFmt w:val="bullet"/>
      <w:start w:val="1"/>
    </w:lvl>
  </w:abstractNum>
  <w:abstractNum w:abstractNumId="10">
    <w:nsid w:val="97E1B4E"/>
    <w:multiLevelType w:val="hybridMultilevel"/>
    <w:lvl w:ilvl="0">
      <w:lvlJc w:val="left"/>
      <w:lvlText w:val="K"/>
      <w:numFmt w:val="bullet"/>
      <w:start w:val="1"/>
    </w:lvl>
  </w:abstractNum>
  <w:abstractNum w:abstractNumId="11">
    <w:nsid w:val="51088277"/>
    <w:multiLevelType w:val="hybridMultilevel"/>
    <w:lvl w:ilvl="0">
      <w:lvlJc w:val="left"/>
      <w:lvlText w:val="(%1)"/>
      <w:numFmt w:val="lowerLetter"/>
      <w:start w:val="1"/>
    </w:lvl>
  </w:abstractNum>
  <w:abstractNum w:abstractNumId="12">
    <w:nsid w:val="1CA0C5FA"/>
    <w:multiLevelType w:val="hybridMultilevel"/>
    <w:lvl w:ilvl="0">
      <w:lvlJc w:val="left"/>
      <w:lvlText w:val="(%1)"/>
      <w:numFmt w:val="lowerLetter"/>
      <w:start w:val="1"/>
    </w:lvl>
  </w:abstractNum>
  <w:abstractNum w:abstractNumId="13">
    <w:nsid w:val="53584BCB"/>
    <w:multiLevelType w:val="hybridMultilevel"/>
    <w:lvl w:ilvl="0">
      <w:lvlJc w:val="left"/>
      <w:lvlText w:val="(%1)"/>
      <w:numFmt w:val="lowerLetter"/>
      <w:start w:val="1"/>
    </w:lvl>
  </w:abstractNum>
  <w:abstractNum w:abstractNumId="14">
    <w:nsid w:val="415E286C"/>
    <w:multiLevelType w:val="hybridMultilevel"/>
    <w:lvl w:ilvl="0">
      <w:lvlJc w:val="left"/>
      <w:lvlText w:val="\ldblquote"/>
      <w:numFmt w:val="bullet"/>
      <w:start w:val="1"/>
    </w:lvl>
  </w:abstractNum>
  <w:abstractNum w:abstractNumId="15">
    <w:nsid w:val="7C58FD05"/>
    <w:multiLevelType w:val="hybridMultilevel"/>
    <w:lvl w:ilvl="0">
      <w:lvlJc w:val="left"/>
      <w:lvlText w:val="%1"/>
      <w:numFmt w:val="decimal"/>
      <w:start w:val="1"/>
    </w:lvl>
    <w:lvl w:ilvl="1">
      <w:lvlJc w:val="left"/>
      <w:lvlText w:val="(%2)"/>
      <w:numFmt w:val="lowerLetter"/>
      <w:start w:val="1"/>
    </w:lvl>
  </w:abstractNum>
  <w:abstractNum w:abstractNumId="16">
    <w:nsid w:val="23D86AAC"/>
    <w:multiLevelType w:val="hybridMultilevel"/>
    <w:lvl w:ilvl="0">
      <w:lvlJc w:val="left"/>
      <w:lvlText w:val="(%1)"/>
      <w:numFmt w:val="decimal"/>
      <w:start w:val="1"/>
    </w:lvl>
    <w:lvl w:ilvl="1">
      <w:lvlJc w:val="left"/>
      <w:lvlText w:val="%2"/>
      <w:numFmt w:val="lowerLetter"/>
      <w:start w:val="1"/>
    </w:lvl>
  </w:abstractNum>
  <w:abstractNum w:abstractNumId="17">
    <w:nsid w:val="45E6D486"/>
    <w:multiLevelType w:val="hybridMultilevel"/>
    <w:lvl w:ilvl="0">
      <w:lvlJc w:val="left"/>
      <w:lvlText w:val="%1"/>
      <w:numFmt w:val="lowerLetter"/>
      <w:start w:val="1"/>
    </w:lvl>
    <w:lvl w:ilvl="1">
      <w:lvlJc w:val="left"/>
      <w:lvlText w:val="(%2)"/>
      <w:numFmt w:val="lowerLetter"/>
      <w:start w:val="2"/>
    </w:lvl>
  </w:abstractNum>
  <w:abstractNum w:abstractNumId="18">
    <w:nsid w:val="5C10FE21"/>
    <w:multiLevelType w:val="hybridMultilevel"/>
    <w:lvl w:ilvl="0">
      <w:lvlJc w:val="left"/>
      <w:lvlText w:val="(%1)"/>
      <w:numFmt w:val="lowerLetter"/>
      <w:start w:val="4"/>
    </w:lvl>
    <w:lvl w:ilvl="1">
      <w:lvlJc w:val="left"/>
      <w:lvlText w:val="(%2)"/>
      <w:numFmt w:val="lowerLetter"/>
      <w:start w:val="7"/>
    </w:lvl>
  </w:abstractNum>
  <w:abstractNum w:abstractNumId="19">
    <w:nsid w:val="E7FFA2B"/>
    <w:multiLevelType w:val="hybridMultilevel"/>
    <w:lvl w:ilvl="0">
      <w:lvlJc w:val="left"/>
      <w:lvlText w:val="(%1)"/>
      <w:numFmt w:val="lowerLetter"/>
      <w:start w:val="1"/>
    </w:lvl>
  </w:abstractNum>
  <w:abstractNum w:abstractNumId="20">
    <w:nsid w:val="3C5991AA"/>
    <w:multiLevelType w:val="hybridMultilevel"/>
    <w:lvl w:ilvl="0">
      <w:lvlJc w:val="left"/>
      <w:lvlText w:val="(%1)"/>
      <w:numFmt w:val="lowerLetter"/>
      <w:start w:val="1"/>
    </w:lvl>
    <w:lvl w:ilvl="1">
      <w:lvlJc w:val="left"/>
      <w:lvlText w:val="(%2)"/>
      <w:numFmt w:val="lowerRoman"/>
      <w:start w:val="1"/>
    </w:lvl>
  </w:abstractNum>
  <w:abstractNum w:abstractNumId="21">
    <w:nsid w:val="4BD8591A"/>
    <w:multiLevelType w:val="hybridMultilevel"/>
    <w:lvl w:ilvl="0">
      <w:lvlJc w:val="left"/>
      <w:lvlText w:val="%1"/>
      <w:numFmt w:val="lowerLetter"/>
      <w:start w:val="1"/>
    </w:lvl>
    <w:lvl w:ilvl="1">
      <w:lvlJc w:val="left"/>
      <w:lvlText w:val="(%2)"/>
      <w:numFmt w:val="lowerLetter"/>
      <w:start w:val="35"/>
    </w:lvl>
  </w:abstractNum>
  <w:abstractNum w:abstractNumId="22">
    <w:nsid w:val="78DF6A55"/>
    <w:multiLevelType w:val="hybridMultilevel"/>
    <w:lvl w:ilvl="0">
      <w:lvlJc w:val="left"/>
      <w:lvlText w:val="(%1)"/>
      <w:numFmt w:val="lowerLetter"/>
      <w:start w:val="3"/>
    </w:lvl>
    <w:lvl w:ilvl="1">
      <w:lvlJc w:val="left"/>
      <w:lvlText w:val="%2"/>
      <w:numFmt w:val="lowerLetter"/>
      <w:start w:val="1"/>
    </w:lvl>
  </w:abstractNum>
  <w:abstractNum w:abstractNumId="23">
    <w:nsid w:val="39B7AAA2"/>
    <w:multiLevelType w:val="hybridMultilevel"/>
    <w:lvl w:ilvl="0">
      <w:lvlJc w:val="left"/>
      <w:lvlText w:val="(%1)"/>
      <w:numFmt w:val="lowerLetter"/>
      <w:start w:val="1"/>
    </w:lvl>
    <w:lvl w:ilvl="1">
      <w:lvlJc w:val="left"/>
      <w:lvlText w:val="(%2)"/>
      <w:numFmt w:val="lowerRoman"/>
      <w:start w:val="1"/>
    </w:lvl>
  </w:abstractNum>
  <w:abstractNum w:abstractNumId="24">
    <w:nsid w:val="2B0D8DBE"/>
    <w:multiLevelType w:val="hybridMultilevel"/>
    <w:lvl w:ilvl="0">
      <w:lvlJc w:val="left"/>
      <w:lvlText w:val="(%1)"/>
      <w:numFmt w:val="lowerLetter"/>
      <w:start w:val="3"/>
    </w:lvl>
    <w:lvl w:ilvl="1">
      <w:lvlJc w:val="left"/>
      <w:lvlText w:val="(%2)"/>
      <w:numFmt w:val="lowerRoman"/>
      <w:start w:val="1"/>
    </w:lvl>
  </w:abstractNum>
  <w:abstractNum w:abstractNumId="25">
    <w:nsid w:val="6C80EC70"/>
    <w:multiLevelType w:val="hybridMultilevel"/>
    <w:lvl w:ilvl="0">
      <w:lvlJc w:val="left"/>
      <w:lvlText w:val="(%1)"/>
      <w:numFmt w:val="lowerRoman"/>
      <w:start w:val="10"/>
    </w:lvl>
  </w:abstractNum>
  <w:abstractNum w:abstractNumId="26">
    <w:nsid w:val="379E21B5"/>
    <w:multiLevelType w:val="hybridMultilevel"/>
    <w:lvl w:ilvl="0">
      <w:lvlJc w:val="left"/>
      <w:lvlText w:val="(%1)"/>
      <w:numFmt w:val="lowerLetter"/>
      <w:start w:val="1"/>
    </w:lvl>
  </w:abstractNum>
  <w:abstractNum w:abstractNumId="27">
    <w:nsid w:val="69E373"/>
    <w:multiLevelType w:val="hybridMultilevel"/>
    <w:lvl w:ilvl="0">
      <w:lvlJc w:val="left"/>
      <w:lvlText w:val="(%1)"/>
      <w:numFmt w:val="lowerLetter"/>
      <w:start w:val="1"/>
    </w:lvl>
  </w:abstractNum>
  <w:abstractNum w:abstractNumId="28">
    <w:nsid w:val="2C27173B"/>
    <w:multiLevelType w:val="hybridMultilevel"/>
    <w:lvl w:ilvl="0">
      <w:lvlJc w:val="left"/>
      <w:lvlText w:val="(%1)"/>
      <w:numFmt w:val="lowerRoman"/>
      <w:start w:val="1"/>
    </w:lvl>
  </w:abstractNum>
  <w:abstractNum w:abstractNumId="29">
    <w:nsid w:val="4C9B0904"/>
    <w:multiLevelType w:val="hybridMultilevel"/>
    <w:lvl w:ilvl="0">
      <w:lvlJc w:val="left"/>
      <w:lvlText w:val="(%1)"/>
      <w:numFmt w:val="lowerLetter"/>
      <w:start w:val="2"/>
    </w:lvl>
  </w:abstractNum>
  <w:abstractNum w:abstractNumId="30">
    <w:nsid w:val="6AA7B75C"/>
    <w:multiLevelType w:val="hybridMultilevel"/>
    <w:lvl w:ilvl="0">
      <w:lvlJc w:val="left"/>
      <w:lvlText w:val="(%1)"/>
      <w:numFmt w:val="lowerRoman"/>
      <w:start w:val="2"/>
    </w:lvl>
  </w:abstractNum>
  <w:abstractNum w:abstractNumId="31">
    <w:nsid w:val="1DF029D3"/>
    <w:multiLevelType w:val="hybridMultilevel"/>
    <w:lvl w:ilvl="0">
      <w:lvlJc w:val="left"/>
      <w:lvlText w:val="(%1)"/>
      <w:numFmt w:val="decimal"/>
      <w:start w:val="3"/>
    </w:lvl>
  </w:abstractNum>
  <w:abstractNum w:abstractNumId="32">
    <w:nsid w:val="5675FF36"/>
    <w:multiLevelType w:val="hybridMultilevel"/>
    <w:lvl w:ilvl="0">
      <w:lvlJc w:val="left"/>
      <w:lvlText w:val="(%1)"/>
      <w:numFmt w:val="lowerLetter"/>
      <w:start w:val="1"/>
    </w:lvl>
  </w:abstractNum>
  <w:abstractNum w:abstractNumId="33">
    <w:nsid w:val="3DD15094"/>
    <w:multiLevelType w:val="hybridMultilevel"/>
    <w:lvl w:ilvl="0">
      <w:lvlJc w:val="left"/>
      <w:lvlText w:val="(%1)"/>
      <w:numFmt w:val="lowerLetter"/>
      <w:start w:val="4"/>
    </w:lvl>
  </w:abstractNum>
  <w:abstractNum w:abstractNumId="34">
    <w:nsid w:val="3DB012B3"/>
    <w:multiLevelType w:val="hybridMultilevel"/>
    <w:lvl w:ilvl="0">
      <w:lvlJc w:val="left"/>
      <w:lvlText w:val="(%1)"/>
      <w:numFmt w:val="lowerLetter"/>
      <w:start w:val="1"/>
    </w:lvl>
  </w:abstractNum>
  <w:abstractNum w:abstractNumId="35">
    <w:nsid w:val="2708C9AF"/>
    <w:multiLevelType w:val="hybridMultilevel"/>
    <w:lvl w:ilvl="0">
      <w:lvlJc w:val="left"/>
      <w:lvlText w:val="(%1)"/>
      <w:numFmt w:val="lowerLetter"/>
      <w:start w:val="1"/>
    </w:lvl>
  </w:abstractNum>
  <w:abstractNum w:abstractNumId="36">
    <w:nsid w:val="5B25ACE2"/>
    <w:multiLevelType w:val="hybridMultilevel"/>
    <w:lvl w:ilvl="0">
      <w:lvlJc w:val="left"/>
      <w:lvlText w:val="(%1)"/>
      <w:numFmt w:val="lowerLetter"/>
      <w:start w:val="1"/>
    </w:lvl>
  </w:abstractNum>
  <w:abstractNum w:abstractNumId="37">
    <w:nsid w:val="175DFCF0"/>
    <w:multiLevelType w:val="hybridMultilevel"/>
    <w:lvl w:ilvl="0">
      <w:lvlJc w:val="left"/>
      <w:lvlText w:val="(%1)"/>
      <w:numFmt w:val="lowerLetter"/>
      <w:start w:val="2"/>
    </w:lvl>
  </w:abstractNum>
  <w:abstractNum w:abstractNumId="38">
    <w:nsid w:val="4F97E3E4"/>
    <w:multiLevelType w:val="hybridMultilevel"/>
    <w:lvl w:ilvl="0">
      <w:lvlJc w:val="left"/>
      <w:lvlText w:val="(%1)"/>
      <w:numFmt w:val="lowerLetter"/>
      <w:start w:val="2"/>
    </w:lvl>
  </w:abstractNum>
  <w:abstractNum w:abstractNumId="39">
    <w:nsid w:val="53B0A9E"/>
    <w:multiLevelType w:val="hybridMultilevel"/>
    <w:lvl w:ilvl="0">
      <w:lvlJc w:val="left"/>
      <w:lvlText w:val="%1"/>
      <w:numFmt w:val="lowerLetter"/>
      <w:start w:val="1"/>
    </w:lvl>
    <w:lvl w:ilvl="1">
      <w:lvlJc w:val="left"/>
      <w:lvlText w:val="(%2)"/>
      <w:numFmt w:val="lowerLetter"/>
      <w:start w:val="1"/>
    </w:lvl>
  </w:abstractNum>
  <w:abstractNum w:abstractNumId="40">
    <w:nsid w:val="34FD6B4F"/>
    <w:multiLevelType w:val="hybridMultilevel"/>
    <w:lvl w:ilvl="0">
      <w:lvlJc w:val="left"/>
      <w:lvlText w:val="(%1)"/>
      <w:numFmt w:val="lowerLetter"/>
      <w:start w:val="2"/>
    </w:lvl>
    <w:lvl w:ilvl="1">
      <w:lvlJc w:val="left"/>
      <w:lvlText w:val="%2"/>
      <w:numFmt w:val="lowerLetter"/>
      <w:start w:val="1"/>
    </w:lvl>
  </w:abstractNum>
  <w:abstractNum w:abstractNumId="41">
    <w:nsid w:val="5915FF32"/>
    <w:multiLevelType w:val="hybridMultilevel"/>
    <w:lvl w:ilvl="0">
      <w:lvlJc w:val="left"/>
      <w:lvlText w:val="(%1)"/>
      <w:numFmt w:val="lowerLetter"/>
      <w:start w:val="2"/>
    </w:lvl>
  </w:abstractNum>
  <w:abstractNum w:abstractNumId="42">
    <w:nsid w:val="56438D15"/>
    <w:multiLevelType w:val="hybridMultilevel"/>
    <w:lvl w:ilvl="0">
      <w:lvlJc w:val="left"/>
      <w:lvlText w:val="(%1)"/>
      <w:numFmt w:val="lowerLetter"/>
      <w:start w:val="1"/>
    </w:lvl>
  </w:abstractNum>
  <w:abstractNum w:abstractNumId="43">
    <w:nsid w:val="519E3149"/>
    <w:multiLevelType w:val="hybridMultilevel"/>
    <w:lvl w:ilvl="0">
      <w:lvlJc w:val="left"/>
      <w:lvlText w:val="(%1)"/>
      <w:numFmt w:val="lowerLetter"/>
      <w:start w:val="2"/>
    </w:lvl>
  </w:abstractNum>
  <w:abstractNum w:abstractNumId="44">
    <w:nsid w:val="2C6E4AFD"/>
    <w:multiLevelType w:val="hybridMultilevel"/>
    <w:lvl w:ilvl="0">
      <w:lvlJc w:val="left"/>
      <w:lvlText w:val="(%1)"/>
      <w:numFmt w:val="lowerLetter"/>
      <w:start w:val="2"/>
    </w:lvl>
  </w:abstractNum>
  <w:abstractNum w:abstractNumId="45">
    <w:nsid w:val="17A1B582"/>
    <w:multiLevelType w:val="hybridMultilevel"/>
    <w:lvl w:ilvl="0">
      <w:lvlJc w:val="left"/>
      <w:lvlText w:val="(%1)"/>
      <w:numFmt w:val="lowerLetter"/>
      <w:start w:val="2"/>
    </w:lvl>
  </w:abstractNum>
  <w:abstractNum w:abstractNumId="46">
    <w:nsid w:val="4DF72E4E"/>
    <w:multiLevelType w:val="hybridMultilevel"/>
    <w:lvl w:ilvl="0">
      <w:lvlJc w:val="left"/>
      <w:lvlText w:val="(%1)"/>
      <w:numFmt w:val="lowerLetter"/>
      <w:start w:val="2"/>
    </w:lvl>
  </w:abstractNum>
  <w:abstractNum w:abstractNumId="47">
    <w:nsid w:val="5046B5A9"/>
    <w:multiLevelType w:val="hybridMultilevel"/>
    <w:lvl w:ilvl="0">
      <w:lvlJc w:val="left"/>
      <w:lvlText w:val="(%1)"/>
      <w:numFmt w:val="lowerLetter"/>
      <w:start w:val="1"/>
    </w:lvl>
  </w:abstractNum>
  <w:abstractNum w:abstractNumId="48">
    <w:nsid w:val="5D888A08"/>
    <w:multiLevelType w:val="hybridMultilevel"/>
    <w:lvl w:ilvl="0">
      <w:lvlJc w:val="left"/>
      <w:lvlText w:val="(%1)"/>
      <w:numFmt w:val="lowerLetter"/>
      <w:start w:val="1"/>
    </w:lvl>
  </w:abstractNum>
  <w:abstractNum w:abstractNumId="49">
    <w:nsid w:val="2A082C70"/>
    <w:multiLevelType w:val="hybridMultilevel"/>
    <w:lvl w:ilvl="0">
      <w:lvlJc w:val="left"/>
      <w:lvlText w:val="(%1)"/>
      <w:numFmt w:val="lowerLetter"/>
      <w:start w:val="1"/>
    </w:lvl>
  </w:abstractNum>
  <w:abstractNum w:abstractNumId="50">
    <w:nsid w:val="5EC6AFD4"/>
    <w:multiLevelType w:val="hybridMultilevel"/>
    <w:lvl w:ilvl="0">
      <w:lvlJc w:val="left"/>
      <w:lvlText w:val="(%1)"/>
      <w:numFmt w:val="lowerLetter"/>
      <w:start w:val="35"/>
    </w:lvl>
    <w:lvl w:ilvl="1">
      <w:lvlJc w:val="left"/>
      <w:lvlText w:val="(%2)"/>
      <w:numFmt w:val="lowerLetter"/>
      <w:start w:val="2"/>
    </w:lvl>
  </w:abstractNum>
  <w:abstractNum w:abstractNumId="51">
    <w:nsid w:val="19E21BB2"/>
    <w:multiLevelType w:val="hybridMultilevel"/>
    <w:lvl w:ilvl="0">
      <w:lvlJc w:val="left"/>
      <w:lvlText w:val="(%1)"/>
      <w:numFmt w:val="lowerLetter"/>
      <w:start w:val="3"/>
    </w:lvl>
  </w:abstractNum>
  <w:abstractNum w:abstractNumId="52">
    <w:nsid w:val="75E0858A"/>
    <w:multiLevelType w:val="hybridMultilevel"/>
    <w:lvl w:ilvl="0">
      <w:lvlJc w:val="left"/>
      <w:lvlText w:val="(%1)"/>
      <w:numFmt w:val="lowerLetter"/>
      <w:start w:val="1"/>
    </w:lvl>
    <w:lvl w:ilvl="1">
      <w:lvlJc w:val="left"/>
      <w:lvlText w:val="(%2)"/>
      <w:numFmt w:val="lowerLetter"/>
      <w:start w:val="9"/>
    </w:lvl>
  </w:abstractNum>
  <w:abstractNum w:abstractNumId="53">
    <w:nsid w:val="57A61A29"/>
    <w:multiLevelType w:val="hybridMultilevel"/>
    <w:lvl w:ilvl="0">
      <w:lvlJc w:val="left"/>
      <w:lvlText w:val="(%1)"/>
      <w:numFmt w:val="lowerRoman"/>
      <w:start w:val="2"/>
    </w:lvl>
    <w:lvl w:ilvl="1">
      <w:lvlJc w:val="left"/>
      <w:lvlText w:val="(%2)"/>
      <w:numFmt w:val="upperLetter"/>
      <w:start w:val="1"/>
    </w:lvl>
  </w:abstractNum>
  <w:abstractNum w:abstractNumId="54">
    <w:nsid w:val="5399C654"/>
    <w:multiLevelType w:val="hybridMultilevel"/>
    <w:lvl w:ilvl="0">
      <w:lvlJc w:val="left"/>
      <w:lvlText w:val="%1"/>
      <w:numFmt w:val="lowerRoman"/>
      <w:start w:val="1"/>
    </w:lvl>
    <w:lvl w:ilvl="1">
      <w:lvlJc w:val="left"/>
      <w:lvlText w:val="(%2)"/>
      <w:numFmt w:val="upperLetter"/>
      <w:start w:val="5"/>
    </w:lvl>
  </w:abstractNum>
  <w:abstractNum w:abstractNumId="55">
    <w:nsid w:val="20EE1348"/>
    <w:multiLevelType w:val="hybridMultilevel"/>
    <w:lvl w:ilvl="0">
      <w:lvlJc w:val="left"/>
      <w:lvlText w:val="(%1)"/>
      <w:numFmt w:val="lowerRoman"/>
      <w:start w:val="4"/>
    </w:lvl>
    <w:lvl w:ilvl="1">
      <w:lvlJc w:val="left"/>
      <w:lvlText w:val="%2"/>
      <w:numFmt w:val="upperLetter"/>
      <w:start w:val="1"/>
    </w:lvl>
  </w:abstractNum>
  <w:abstractNum w:abstractNumId="56">
    <w:nsid w:val="4427069A"/>
    <w:multiLevelType w:val="hybridMultilevel"/>
    <w:lvl w:ilvl="0">
      <w:lvlJc w:val="left"/>
      <w:lvlText w:val="(%1)"/>
      <w:numFmt w:val="lowerLetter"/>
      <w:start w:val="2"/>
    </w:lvl>
  </w:abstractNum>
  <w:abstractNum w:abstractNumId="57">
    <w:nsid w:val="B37E80A"/>
    <w:multiLevelType w:val="hybridMultilevel"/>
    <w:lvl w:ilvl="0">
      <w:lvlJc w:val="left"/>
      <w:lvlText w:val="(%1)"/>
      <w:numFmt w:val="lowerRoman"/>
      <w:start w:val="1"/>
    </w:lvl>
  </w:abstractNum>
  <w:abstractNum w:abstractNumId="58">
    <w:nsid w:val="2157F6BC"/>
    <w:multiLevelType w:val="hybridMultilevel"/>
    <w:lvl w:ilvl="0">
      <w:lvlJc w:val="left"/>
      <w:lvlText w:val="%1"/>
      <w:numFmt w:val="lowerLetter"/>
      <w:start w:val="1"/>
    </w:lvl>
    <w:lvl w:ilvl="1">
      <w:lvlJc w:val="left"/>
      <w:lvlText w:val="(%2)"/>
      <w:numFmt w:val="lowerRoman"/>
      <w:start w:val="4"/>
    </w:lvl>
  </w:abstractNum>
  <w:abstractNum w:abstractNumId="59">
    <w:nsid w:val="704E1DD5"/>
    <w:multiLevelType w:val="hybridMultilevel"/>
    <w:lvl w:ilvl="0">
      <w:lvlJc w:val="left"/>
      <w:lvlText w:val="(%1)"/>
      <w:numFmt w:val="lowerLetter"/>
      <w:start w:val="3"/>
    </w:lvl>
    <w:lvl w:ilvl="1">
      <w:lvlJc w:val="left"/>
      <w:lvlText w:val="(%2)"/>
      <w:numFmt w:val="lowerRoman"/>
      <w:start w:val="1"/>
    </w:lvl>
  </w:abstractNum>
  <w:abstractNum w:abstractNumId="60">
    <w:nsid w:val="57D2F10E"/>
    <w:multiLevelType w:val="hybridMultilevel"/>
    <w:lvl w:ilvl="0">
      <w:lvlJc w:val="left"/>
      <w:lvlText w:val="(%1)"/>
      <w:numFmt w:val="lowerRoman"/>
      <w:start w:val="2"/>
    </w:lvl>
  </w:abstractNum>
  <w:abstractNum w:abstractNumId="61">
    <w:nsid w:val="BFFAE18"/>
    <w:multiLevelType w:val="hybridMultilevel"/>
    <w:lvl w:ilvl="0">
      <w:lvlJc w:val="left"/>
      <w:lvlText w:val="(%1)"/>
      <w:numFmt w:val="lowerRoman"/>
      <w:start w:val="6"/>
    </w:lvl>
    <w:lvl w:ilvl="1">
      <w:lvlJc w:val="left"/>
      <w:lvlText w:val="(%2)"/>
      <w:numFmt w:val="lowerRoman"/>
      <w:start w:val="1"/>
    </w:lvl>
  </w:abstractNum>
  <w:abstractNum w:abstractNumId="62">
    <w:nsid w:val="E3E47A8"/>
    <w:multiLevelType w:val="hybridMultilevel"/>
    <w:lvl w:ilvl="0">
      <w:lvlJc w:val="left"/>
      <w:lvlText w:val="(%1)"/>
      <w:numFmt w:val="lowerLetter"/>
      <w:start w:val="5"/>
    </w:lvl>
    <w:lvl w:ilvl="1">
      <w:lvlJc w:val="left"/>
      <w:lvlText w:val="(%2)"/>
      <w:numFmt w:val="lowerRoman"/>
      <w:start w:val="1"/>
    </w:lvl>
  </w:abstractNum>
  <w:abstractNum w:abstractNumId="63">
    <w:nsid w:val="2E48F044"/>
    <w:multiLevelType w:val="hybridMultilevel"/>
    <w:lvl w:ilvl="0">
      <w:lvlJc w:val="left"/>
      <w:lvlText w:val="(%1)"/>
      <w:numFmt w:val="lowerRoman"/>
      <w:start w:val="4"/>
    </w:lvl>
  </w:abstractNum>
  <w:abstractNum w:abstractNumId="64">
    <w:nsid w:val="49D0FEAC"/>
    <w:multiLevelType w:val="hybridMultilevel"/>
    <w:lvl w:ilvl="0">
      <w:lvlJc w:val="left"/>
      <w:lvlText w:val="%1"/>
      <w:numFmt w:val="lowerLetter"/>
      <w:start w:val="1"/>
    </w:lvl>
    <w:lvl w:ilvl="1">
      <w:lvlJc w:val="left"/>
      <w:lvlText w:val="(%2)"/>
      <w:numFmt w:val="lowerLetter"/>
      <w:start w:val="6"/>
    </w:lvl>
  </w:abstractNum>
  <w:abstractNum w:abstractNumId="65">
    <w:nsid w:val="4BEE5A5B"/>
    <w:multiLevelType w:val="hybridMultilevel"/>
    <w:lvl w:ilvl="0">
      <w:lvlJc w:val="left"/>
      <w:lvlText w:val="(%1)"/>
      <w:numFmt w:val="lowerLetter"/>
      <w:start w:val="9"/>
    </w:lvl>
    <w:lvl w:ilvl="1">
      <w:lvlJc w:val="left"/>
      <w:lvlText w:val="%2"/>
      <w:numFmt w:val="lowerLetter"/>
      <w:start w:val="1"/>
    </w:lvl>
  </w:abstractNum>
  <w:abstractNum w:abstractNumId="66">
    <w:nsid w:val="5551B9F3"/>
    <w:multiLevelType w:val="hybridMultilevel"/>
    <w:lvl w:ilvl="0">
      <w:lvlJc w:val="left"/>
      <w:lvlText w:val="(%1)"/>
      <w:numFmt w:val="lowerLetter"/>
      <w:start w:val="7"/>
    </w:lvl>
  </w:abstractNum>
  <w:abstractNum w:abstractNumId="67">
    <w:nsid w:val="24F6AB8E"/>
    <w:multiLevelType w:val="hybridMultilevel"/>
    <w:lvl w:ilvl="0">
      <w:lvlJc w:val="left"/>
      <w:lvlText w:val="(%1)"/>
      <w:numFmt w:val="lowerLetter"/>
      <w:start w:val="10"/>
    </w:lvl>
  </w:abstractNum>
  <w:abstractNum w:abstractNumId="68">
    <w:nsid w:val="634C574C"/>
    <w:multiLevelType w:val="hybridMultilevel"/>
    <w:lvl w:ilvl="0">
      <w:lvlJc w:val="left"/>
      <w:lvlText w:val="(%1)"/>
      <w:numFmt w:val="lowerLetter"/>
      <w:start w:val="1"/>
    </w:lvl>
  </w:abstractNum>
  <w:abstractNum w:abstractNumId="69">
    <w:nsid w:val="24E99DD7"/>
    <w:multiLevelType w:val="hybridMultilevel"/>
    <w:lvl w:ilvl="0">
      <w:lvlJc w:val="left"/>
      <w:lvlText w:val="(%1)"/>
      <w:numFmt w:val="lowerLetter"/>
      <w:start w:val="3"/>
    </w:lvl>
    <w:lvl w:ilvl="1">
      <w:lvlJc w:val="left"/>
      <w:lvlText w:val="(%2)"/>
      <w:numFmt w:val="lowerRoman"/>
      <w:start w:val="1"/>
    </w:lvl>
  </w:abstractNum>
  <w:abstractNum w:abstractNumId="70">
    <w:nsid w:val="2A31B62D"/>
    <w:multiLevelType w:val="hybridMultilevel"/>
    <w:lvl w:ilvl="0">
      <w:lvlJc w:val="left"/>
      <w:lvlText w:val="%1"/>
      <w:numFmt w:val="lowerLetter"/>
      <w:start w:val="1"/>
    </w:lvl>
    <w:lvl w:ilvl="1">
      <w:lvlJc w:val="left"/>
      <w:lvlText w:val="(%2)"/>
      <w:numFmt w:val="lowerRoman"/>
      <w:start w:val="4"/>
    </w:lvl>
  </w:abstractNum>
  <w:abstractNum w:abstractNumId="71">
    <w:nsid w:val="1849C29B"/>
    <w:multiLevelType w:val="hybridMultilevel"/>
    <w:lvl w:ilvl="0">
      <w:lvlJc w:val="left"/>
      <w:lvlText w:val="(%1)"/>
      <w:numFmt w:val="lowerLetter"/>
      <w:start w:val="4"/>
    </w:lvl>
    <w:lvl w:ilvl="1">
      <w:lvlJc w:val="left"/>
      <w:lvlText w:val="(%2)"/>
      <w:numFmt w:val="lowerRoman"/>
      <w:start w:val="1"/>
    </w:lvl>
  </w:abstractNum>
  <w:abstractNum w:abstractNumId="72">
    <w:nsid w:val="7DFF9D09"/>
    <w:multiLevelType w:val="hybridMultilevel"/>
    <w:lvl w:ilvl="0">
      <w:lvlJc w:val="left"/>
      <w:lvlText w:val="%1"/>
      <w:numFmt w:val="upperLetter"/>
      <w:start w:val="1"/>
    </w:lvl>
    <w:lvl w:ilvl="1">
      <w:lvlJc w:val="left"/>
      <w:lvlText w:val="(%2)"/>
      <w:numFmt w:val="lowerRoman"/>
      <w:start w:val="1"/>
    </w:lvl>
  </w:abstractNum>
  <w:abstractNum w:abstractNumId="73">
    <w:nsid w:val="754342"/>
    <w:multiLevelType w:val="hybridMultilevel"/>
    <w:lvl w:ilvl="0">
      <w:lvlJc w:val="left"/>
      <w:lvlText w:val="(%1)"/>
      <w:numFmt w:val="upperLetter"/>
      <w:start w:val="2"/>
    </w:lvl>
    <w:lvl w:ilvl="1">
      <w:lvlJc w:val="left"/>
      <w:lvlText w:val="(%2)"/>
      <w:numFmt w:val="lowerRoman"/>
      <w:start w:val="2"/>
    </w:lvl>
  </w:abstractNum>
  <w:abstractNum w:abstractNumId="74">
    <w:nsid w:val="69E7F3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2A6DE806"/>
    <w:multiLevelType w:val="hybridMultilevel"/>
    <w:lvl w:ilvl="0">
      <w:lvlJc w:val="left"/>
      <w:lvlText w:val="%1"/>
      <w:numFmt w:val="lowerLetter"/>
      <w:start w:val="1"/>
    </w:lvl>
    <w:lvl w:ilvl="1">
      <w:lvlJc w:val="left"/>
      <w:lvlText w:val="(%2)"/>
      <w:numFmt w:val="upperLetter"/>
      <w:start w:val="2"/>
    </w:lvl>
  </w:abstractNum>
  <w:abstractNum w:abstractNumId="76">
    <w:nsid w:val="1816F8C4"/>
    <w:multiLevelType w:val="hybridMultilevel"/>
    <w:lvl w:ilvl="0">
      <w:lvlJc w:val="left"/>
      <w:lvlText w:val="(%1)"/>
      <w:numFmt w:val="lowerLetter"/>
      <w:start w:val="3"/>
    </w:lvl>
    <w:lvl w:ilvl="1">
      <w:lvlJc w:val="left"/>
      <w:lvlText w:val="%2"/>
      <w:numFmt w:val="upperLetter"/>
      <w:start w:val="1"/>
    </w:lvl>
  </w:abstractNum>
  <w:abstractNum w:abstractNumId="77">
    <w:nsid w:val="37DF2233"/>
    <w:multiLevelType w:val="hybridMultilevel"/>
    <w:lvl w:ilvl="0">
      <w:lvlJc w:val="left"/>
      <w:lvlText w:val="(%1)"/>
      <w:numFmt w:val="lowerLetter"/>
      <w:start w:val="1"/>
    </w:lvl>
  </w:abstractNum>
  <w:abstractNum w:abstractNumId="78">
    <w:nsid w:val="7AB49DAF"/>
    <w:multiLevelType w:val="hybridMultilevel"/>
    <w:lvl w:ilvl="0">
      <w:lvlJc w:val="left"/>
      <w:lvlText w:val="(%1)"/>
      <w:numFmt w:val="lowerLetter"/>
      <w:start w:val="2"/>
    </w:lvl>
  </w:abstractNum>
  <w:abstractNum w:abstractNumId="79">
    <w:nsid w:val="759F82CD"/>
    <w:multiLevelType w:val="hybridMultilevel"/>
    <w:lvl w:ilvl="0">
      <w:lvlJc w:val="left"/>
      <w:lvlText w:val="(%1)"/>
      <w:numFmt w:val="lowerLetter"/>
      <w:start w:val="2"/>
    </w:lvl>
    <w:lvl w:ilvl="1">
      <w:lvlJc w:val="left"/>
      <w:lvlText w:val="(%2)"/>
      <w:numFmt w:val="lowerLetter"/>
      <w:start w:val="35"/>
    </w:lvl>
  </w:abstractNum>
  <w:abstractNum w:abstractNumId="80">
    <w:nsid w:val="61E74EA3"/>
    <w:multiLevelType w:val="hybridMultilevel"/>
    <w:lvl w:ilvl="0">
      <w:lvlJc w:val="left"/>
      <w:lvlText w:val="(%1)"/>
      <w:numFmt w:val="lowerLetter"/>
      <w:start w:val="1"/>
    </w:lvl>
  </w:abstractNum>
  <w:abstractNum w:abstractNumId="81">
    <w:nsid w:val="597B4D84"/>
    <w:multiLevelType w:val="hybridMultilevel"/>
    <w:lvl w:ilvl="0">
      <w:lvlJc w:val="left"/>
      <w:lvlText w:val="(%1)"/>
      <w:numFmt w:val="lowerRoman"/>
      <w:start w:val="2"/>
    </w:lvl>
  </w:abstractNum>
  <w:abstractNum w:abstractNumId="82">
    <w:nsid w:val="F819E7F"/>
    <w:multiLevelType w:val="hybridMultilevel"/>
    <w:lvl w:ilvl="0">
      <w:lvlJc w:val="left"/>
      <w:lvlText w:val="%1"/>
      <w:numFmt w:val="lowerLetter"/>
      <w:start w:val="1"/>
    </w:lvl>
    <w:lvl w:ilvl="1">
      <w:lvlJc w:val="left"/>
      <w:lvlText w:val="(%2)"/>
      <w:numFmt w:val="lowerLetter"/>
      <w:start w:val="2"/>
    </w:lvl>
  </w:abstractNum>
  <w:abstractNum w:abstractNumId="83">
    <w:nsid w:val="57C7D42D"/>
    <w:multiLevelType w:val="hybridMultilevel"/>
    <w:lvl w:ilvl="0">
      <w:lvlJc w:val="left"/>
      <w:lvlText w:val="(%1)"/>
      <w:numFmt w:val="lowerLetter"/>
      <w:start w:val="35"/>
    </w:lvl>
    <w:lvl w:ilvl="1">
      <w:lvlJc w:val="left"/>
      <w:lvlText w:val="%2"/>
      <w:numFmt w:val="lowerLetter"/>
      <w:start w:val="1"/>
    </w:lvl>
  </w:abstractNum>
  <w:abstractNum w:abstractNumId="84">
    <w:nsid w:val="312167AD"/>
    <w:multiLevelType w:val="hybridMultilevel"/>
    <w:lvl w:ilvl="0">
      <w:lvlJc w:val="left"/>
      <w:lvlText w:val="(%1)"/>
      <w:numFmt w:val="lowerLetter"/>
      <w:start w:val="2"/>
    </w:lvl>
  </w:abstractNum>
  <w:abstractNum w:abstractNumId="85">
    <w:nsid w:val="631B64D4"/>
    <w:multiLevelType w:val="hybridMultilevel"/>
    <w:lvl w:ilvl="0">
      <w:lvlJc w:val="left"/>
      <w:lvlText w:val="(%1)"/>
      <w:numFmt w:val="lowerLetter"/>
      <w:start w:val="2"/>
    </w:lvl>
    <w:lvl w:ilvl="1">
      <w:lvlJc w:val="left"/>
      <w:lvlText w:val="(%2)"/>
      <w:numFmt w:val="lowerLetter"/>
      <w:start w:val="35"/>
    </w:lvl>
  </w:abstractNum>
  <w:abstractNum w:abstractNumId="86">
    <w:nsid w:val="78B5E776"/>
    <w:multiLevelType w:val="hybridMultilevel"/>
    <w:lvl w:ilvl="0">
      <w:lvlJc w:val="left"/>
      <w:lvlText w:val="(%1)"/>
      <w:numFmt w:val="lowerLetter"/>
      <w:start w:val="3"/>
    </w:lvl>
  </w:abstractNum>
  <w:abstractNum w:abstractNumId="87">
    <w:nsid w:val="75486E47"/>
    <w:multiLevelType w:val="hybridMultilevel"/>
    <w:lvl w:ilvl="0">
      <w:lvlJc w:val="left"/>
      <w:lvlText w:val="(%1)"/>
      <w:numFmt w:val="lowerRoman"/>
      <w:start w:val="1"/>
    </w:lvl>
  </w:abstractNum>
  <w:abstractNum w:abstractNumId="88">
    <w:nsid w:val="6E534CDE"/>
    <w:multiLevelType w:val="hybridMultilevel"/>
    <w:lvl w:ilvl="0">
      <w:lvlJc w:val="left"/>
      <w:lvlText w:val="(%1)"/>
      <w:numFmt w:val="lowerLetter"/>
      <w:start w:val="1"/>
    </w:lvl>
  </w:abstractNum>
  <w:abstractNum w:abstractNumId="89">
    <w:nsid w:val="1A0DDE32"/>
    <w:multiLevelType w:val="hybridMultilevel"/>
    <w:lvl w:ilvl="0">
      <w:lvlJc w:val="left"/>
      <w:lvlText w:val="(%1)"/>
      <w:numFmt w:val="lowerLetter"/>
      <w:start w:val="6"/>
    </w:lvl>
  </w:abstractNum>
  <w:abstractNum w:abstractNumId="90">
    <w:nsid w:val="65968C1C"/>
    <w:multiLevelType w:val="hybridMultilevel"/>
    <w:lvl w:ilvl="0">
      <w:lvlJc w:val="left"/>
      <w:lvlText w:val="(%1)"/>
      <w:numFmt w:val="lowerLetter"/>
      <w:start w:val="1"/>
    </w:lvl>
  </w:abstractNum>
  <w:abstractNum w:abstractNumId="91">
    <w:nsid w:val="46263DEC"/>
    <w:multiLevelType w:val="hybridMultilevel"/>
    <w:lvl w:ilvl="0">
      <w:lvlJc w:val="left"/>
      <w:lvlText w:val="(%1)"/>
      <w:numFmt w:val="lowerLetter"/>
      <w:start w:val="3"/>
    </w:lvl>
    <w:lvl w:ilvl="1">
      <w:lvlJc w:val="left"/>
      <w:lvlText w:val="(%2)"/>
      <w:numFmt w:val="lowerRoman"/>
      <w:start w:val="1"/>
    </w:lvl>
  </w:abstractNum>
  <w:abstractNum w:abstractNumId="92">
    <w:nsid w:val="260D8C4A"/>
    <w:multiLevelType w:val="hybridMultilevel"/>
    <w:lvl w:ilvl="0">
      <w:lvlJc w:val="left"/>
      <w:lvlText w:val="%1"/>
      <w:numFmt w:val="lowerLetter"/>
      <w:start w:val="1"/>
    </w:lvl>
    <w:lvl w:ilvl="1">
      <w:lvlJc w:val="left"/>
      <w:lvlText w:val="(%2)"/>
      <w:numFmt w:val="lowerRoman"/>
      <w:start w:val="2"/>
    </w:lvl>
  </w:abstractNum>
  <w:abstractNum w:abstractNumId="93">
    <w:nsid w:val="73D4D3C4"/>
    <w:multiLevelType w:val="hybridMultilevel"/>
    <w:lvl w:ilvl="0">
      <w:lvlJc w:val="left"/>
      <w:lvlText w:val="(%1)"/>
      <w:numFmt w:val="lowerLetter"/>
      <w:start w:val="7"/>
    </w:lvl>
    <w:lvl w:ilvl="1">
      <w:lvlJc w:val="left"/>
      <w:lvlText w:val="%2"/>
      <w:numFmt w:val="lowerRoman"/>
      <w:start w:val="1"/>
    </w:lvl>
  </w:abstractNum>
  <w:abstractNum w:abstractNumId="94">
    <w:nsid w:val="746F2E30"/>
    <w:multiLevelType w:val="hybridMultilevel"/>
    <w:lvl w:ilvl="0">
      <w:lvlJc w:val="left"/>
      <w:lvlText w:val="(%1)"/>
      <w:numFmt w:val="lowerLetter"/>
      <w:start w:val="1"/>
    </w:lvl>
  </w:abstractNum>
  <w:abstractNum w:abstractNumId="95">
    <w:nsid w:val="6FDE8AF6"/>
    <w:multiLevelType w:val="hybridMultilevel"/>
    <w:lvl w:ilvl="0">
      <w:lvlJc w:val="left"/>
      <w:lvlText w:val="(%1)"/>
      <w:numFmt w:val="lowerLetter"/>
      <w:start w:val="2"/>
    </w:lvl>
  </w:abstractNum>
  <w:abstractNum w:abstractNumId="96">
    <w:nsid w:val="3FC32E20"/>
    <w:multiLevelType w:val="hybridMultilevel"/>
    <w:lvl w:ilvl="0">
      <w:lvlJc w:val="left"/>
      <w:lvlText w:val="(%1)"/>
      <w:numFmt w:val="lowerLetter"/>
      <w:start w:val="1"/>
    </w:lvl>
    <w:lvl w:ilvl="1">
      <w:lvlJc w:val="left"/>
      <w:lvlText w:val="(%2)"/>
      <w:numFmt w:val="lowerRoman"/>
      <w:start w:val="1"/>
    </w:lvl>
  </w:abstractNum>
  <w:abstractNum w:abstractNumId="97">
    <w:nsid w:val="49C0E823"/>
    <w:multiLevelType w:val="hybridMultilevel"/>
    <w:lvl w:ilvl="0">
      <w:lvlJc w:val="left"/>
      <w:lvlText w:val="(%1)"/>
      <w:numFmt w:val="lowerLetter"/>
      <w:start w:val="61"/>
    </w:lvl>
    <w:lvl w:ilvl="1">
      <w:lvlJc w:val="left"/>
      <w:lvlText w:val="(%2)"/>
      <w:numFmt w:val="upperLetter"/>
      <w:start w:val="1"/>
    </w:lvl>
  </w:abstractNum>
  <w:abstractNum w:abstractNumId="98">
    <w:nsid w:val="14D53685"/>
    <w:multiLevelType w:val="hybridMultilevel"/>
    <w:lvl w:ilvl="0">
      <w:lvlJc w:val="left"/>
      <w:lvlText w:val="(%1)"/>
      <w:numFmt w:val="lowerLetter"/>
      <w:start w:val="26"/>
    </w:lvl>
    <w:lvl w:ilvl="1">
      <w:lvlJc w:val="left"/>
      <w:lvlText w:val="%2"/>
      <w:numFmt w:val="upperLetter"/>
      <w:start w:val="1"/>
    </w:lvl>
  </w:abstractNum>
  <w:abstractNum w:abstractNumId="99">
    <w:nsid w:val="230F856C"/>
    <w:multiLevelType w:val="hybridMultilevel"/>
    <w:lvl w:ilvl="0">
      <w:lvlJc w:val="left"/>
      <w:lvlText w:val="%1"/>
      <w:numFmt w:val="lowerLetter"/>
      <w:start w:val="1"/>
    </w:lvl>
    <w:lvl w:ilvl="1">
      <w:lvlJc w:val="left"/>
      <w:lvlText w:val="(%2)"/>
      <w:numFmt w:val="lowerRoman"/>
      <w:start w:val="4"/>
    </w:lvl>
  </w:abstractNum>
  <w:abstractNum w:abstractNumId="100">
    <w:nsid w:val="6EAA85FB"/>
    <w:multiLevelType w:val="hybridMultilevel"/>
    <w:lvl w:ilvl="0">
      <w:lvlJc w:val="left"/>
      <w:lvlText w:val="(%1)"/>
      <w:numFmt w:val="lowerLetter"/>
      <w:start w:val="25"/>
    </w:lvl>
    <w:lvl w:ilvl="1">
      <w:lvlJc w:val="left"/>
      <w:lvlText w:val="%2"/>
      <w:numFmt w:val="lowerRoman"/>
      <w:start w:val="1"/>
    </w:lvl>
  </w:abstractNum>
  <w:abstractNum w:abstractNumId="101">
    <w:nsid w:val="3F06ECB2"/>
    <w:multiLevelType w:val="hybridMultilevel"/>
    <w:lvl w:ilvl="0">
      <w:lvlJc w:val="left"/>
      <w:lvlText w:val="(%1)"/>
      <w:numFmt w:val="lowerLetter"/>
      <w:start w:val="2"/>
    </w:lvl>
  </w:abstractNum>
  <w:abstractNum w:abstractNumId="102">
    <w:nsid w:val="3B594807"/>
    <w:multiLevelType w:val="hybridMultilevel"/>
    <w:lvl w:ilvl="0">
      <w:lvlJc w:val="left"/>
      <w:lvlText w:val="%1"/>
      <w:numFmt w:val="lowerRoman"/>
      <w:start w:val="1"/>
    </w:lvl>
    <w:lvl w:ilvl="1">
      <w:lvlJc w:val="left"/>
      <w:lvlText w:val="(%2)"/>
      <w:numFmt w:val="lowerLetter"/>
      <w:start w:val="1"/>
    </w:lvl>
  </w:abstractNum>
  <w:abstractNum w:abstractNumId="103">
    <w:nsid w:val="6CAA2304"/>
    <w:multiLevelType w:val="hybridMultilevel"/>
    <w:lvl w:ilvl="0">
      <w:lvlJc w:val="left"/>
      <w:lvlText w:val="(%1)"/>
      <w:numFmt w:val="lowerRoman"/>
      <w:start w:val="4"/>
    </w:lvl>
    <w:lvl w:ilvl="1">
      <w:lvlJc w:val="left"/>
      <w:lvlText w:val="%2"/>
      <w:numFmt w:val="lowerLetter"/>
      <w:start w:val="1"/>
    </w:lvl>
  </w:abstractNum>
  <w:abstractNum w:abstractNumId="104">
    <w:nsid w:val="3F7C2FF4"/>
    <w:multiLevelType w:val="hybridMultilevel"/>
    <w:lvl w:ilvl="0">
      <w:lvlJc w:val="left"/>
      <w:lvlText w:val="(%1)"/>
      <w:numFmt w:val="lowerLetter"/>
      <w:start w:val="2"/>
    </w:lvl>
  </w:abstractNum>
  <w:abstractNum w:abstractNumId="105">
    <w:nsid w:val="25413BEC"/>
    <w:multiLevelType w:val="hybridMultilevel"/>
    <w:lvl w:ilvl="0">
      <w:lvlJc w:val="left"/>
      <w:lvlText w:val="(%1)"/>
      <w:numFmt w:val="lowerLetter"/>
      <w:start w:val="1"/>
    </w:lvl>
    <w:lvl w:ilvl="1">
      <w:lvlJc w:val="left"/>
      <w:lvlText w:val="(%2)"/>
      <w:numFmt w:val="lowerRoman"/>
      <w:start w:val="1"/>
    </w:lvl>
  </w:abstractNum>
  <w:abstractNum w:abstractNumId="106">
    <w:nsid w:val="17180B0B"/>
    <w:multiLevelType w:val="hybridMultilevel"/>
    <w:lvl w:ilvl="0">
      <w:lvlJc w:val="left"/>
      <w:lvlText w:val="%1"/>
      <w:numFmt w:val="lowerLetter"/>
      <w:start w:val="1"/>
    </w:lvl>
    <w:lvl w:ilvl="1">
      <w:lvlJc w:val="left"/>
      <w:lvlText w:val="(%2)"/>
      <w:numFmt w:val="lowerRoman"/>
      <w:start w:val="3"/>
    </w:lvl>
  </w:abstractNum>
  <w:abstractNum w:abstractNumId="107">
    <w:nsid w:val="579328B9"/>
    <w:multiLevelType w:val="hybridMultilevel"/>
    <w:lvl w:ilvl="0">
      <w:lvlJc w:val="left"/>
      <w:lvlText w:val="(%1)"/>
      <w:numFmt w:val="lowerLetter"/>
      <w:start w:val="2"/>
    </w:lvl>
    <w:lvl w:ilvl="1">
      <w:lvlJc w:val="left"/>
      <w:lvlText w:val="%2"/>
      <w:numFmt w:val="lowerRoman"/>
      <w:start w:val="1"/>
    </w:lvl>
  </w:abstractNum>
  <w:abstractNum w:abstractNumId="108">
    <w:nsid w:val="5D205E20"/>
    <w:multiLevelType w:val="hybridMultilevel"/>
    <w:lvl w:ilvl="0">
      <w:lvlJc w:val="left"/>
      <w:lvlText w:val="%1"/>
      <w:numFmt w:val="decimal"/>
      <w:start w:val="1"/>
    </w:lvl>
    <w:lvl w:ilvl="1">
      <w:lvlJc w:val="left"/>
      <w:lvlText w:val="(%2)"/>
      <w:numFmt w:val="lowerLetter"/>
      <w:start w:val="1"/>
    </w:lvl>
  </w:abstractNum>
  <w:abstractNum w:abstractNumId="109">
    <w:nsid w:val="11CCA8BA"/>
    <w:multiLevelType w:val="hybridMultilevel"/>
    <w:lvl w:ilvl="0">
      <w:lvlJc w:val="left"/>
      <w:lvlText w:val="(%1)"/>
      <w:numFmt w:val="decimal"/>
      <w:start w:val="60"/>
    </w:lvl>
    <w:lvl w:ilvl="1">
      <w:lvlJc w:val="left"/>
      <w:lvlText w:val="%2"/>
      <w:numFmt w:val="lowerLetter"/>
      <w:start w:val="1"/>
    </w:lvl>
  </w:abstractNum>
  <w:abstractNum w:abstractNumId="110">
    <w:nsid w:val="4D32AB86"/>
    <w:multiLevelType w:val="hybridMultilevel"/>
    <w:lvl w:ilvl="0">
      <w:lvlJc w:val="left"/>
      <w:lvlText w:val="(%1)"/>
      <w:numFmt w:val="lowerLetter"/>
      <w:start w:val="2"/>
    </w:lvl>
  </w:abstractNum>
  <w:abstractNum w:abstractNumId="111">
    <w:nsid w:val="3F07ACC3"/>
    <w:multiLevelType w:val="hybridMultilevel"/>
    <w:lvl w:ilvl="0">
      <w:lvlJc w:val="left"/>
      <w:lvlText w:val="(%1)"/>
      <w:numFmt w:val="lowerLetter"/>
      <w:start w:val="4"/>
    </w:lvl>
  </w:abstractNum>
  <w:abstractNum w:abstractNumId="112">
    <w:nsid w:val="6B47F63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3">
    <w:nsid w:val="5CB44A05"/>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35"/>
    </w:lvl>
  </w:abstractNum>
  <w:abstractNum w:abstractNumId="114">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5">
    <w:nsid w:val="1C695D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16">
    <w:nsid w:val="3FCFAED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5"/>
    </w:lvl>
  </w:abstractNum>
  <w:abstractNum w:abstractNumId="117">
    <w:nsid w:val="F856867"/>
    <w:multiLevelType w:val="hybridMultilevel"/>
    <w:lvl w:ilvl="0">
      <w:lvlJc w:val="left"/>
      <w:lvlText w:val="(%1)"/>
      <w:numFmt w:val="lowerLetter"/>
      <w:start w:val="4"/>
    </w:lvl>
    <w:lvl w:ilvl="1">
      <w:lvlJc w:val="left"/>
      <w:lvlText w:val="(%2)"/>
      <w:numFmt w:val="lowerLetter"/>
      <w:start w:val="35"/>
    </w:lvl>
    <w:lvl w:ilvl="2">
      <w:lvlJc w:val="left"/>
      <w:lvlText w:val="(%3)"/>
      <w:numFmt w:val="upperLetter"/>
      <w:start w:val="1"/>
    </w:lvl>
    <w:lvl w:ilvl="3">
      <w:lvlJc w:val="left"/>
      <w:lvlText w:val="(%4)"/>
      <w:numFmt w:val="upperLetter"/>
      <w:start w:val="9"/>
    </w:lvl>
  </w:abstractNum>
  <w:abstractNum w:abstractNumId="118">
    <w:nsid w:val="11B1CC33"/>
    <w:multiLevelType w:val="hybridMultilevel"/>
    <w:lvl w:ilvl="0">
      <w:lvlJc w:val="left"/>
      <w:lvlText w:val="%1"/>
      <w:numFmt w:val="upperLetter"/>
      <w:start w:val="1"/>
    </w:lvl>
    <w:lvl w:ilvl="1">
      <w:lvlJc w:val="left"/>
      <w:lvlText w:val="(%2)"/>
      <w:numFmt w:val="upperLetter"/>
      <w:start w:val="61"/>
    </w:lvl>
  </w:abstractNum>
  <w:abstractNum w:abstractNumId="119">
    <w:nsid w:val="2E22FBB7"/>
    <w:multiLevelType w:val="hybridMultilevel"/>
    <w:lvl w:ilvl="0">
      <w:lvlJc w:val="left"/>
      <w:lvlText w:val="(%1)"/>
      <w:numFmt w:val="upperLetter"/>
      <w:start w:val="3"/>
    </w:lvl>
    <w:lvl w:ilvl="1">
      <w:lvlJc w:val="left"/>
      <w:lvlText w:val="%2"/>
      <w:numFmt w:val="upperLetter"/>
      <w:start w:val="1"/>
    </w:lvl>
  </w:abstractNum>
  <w:abstractNum w:abstractNumId="120">
    <w:nsid w:val="29934699"/>
    <w:multiLevelType w:val="hybridMultilevel"/>
    <w:lvl w:ilvl="0">
      <w:lvlJc w:val="left"/>
      <w:lvlText w:val="%1"/>
      <w:numFmt w:val="lowerRoman"/>
      <w:start w:val="1"/>
    </w:lvl>
    <w:lvl w:ilvl="1">
      <w:lvlJc w:val="left"/>
      <w:lvlText w:val="(%2)"/>
      <w:numFmt w:val="upperLetter"/>
      <w:start w:val="3"/>
    </w:lvl>
  </w:abstractNum>
  <w:abstractNum w:abstractNumId="121">
    <w:nsid w:val="77485850"/>
    <w:multiLevelType w:val="hybridMultilevel"/>
    <w:lvl w:ilvl="0">
      <w:lvlJc w:val="left"/>
      <w:lvlText w:val="(%1)"/>
      <w:numFmt w:val="lowerRoman"/>
      <w:start w:val="3"/>
    </w:lvl>
    <w:lvl w:ilvl="1">
      <w:lvlJc w:val="left"/>
      <w:lvlText w:val="%2"/>
      <w:numFmt w:val="upperLetter"/>
      <w:start w:val="1"/>
    </w:lvl>
  </w:abstractNum>
  <w:abstractNum w:abstractNumId="122">
    <w:nsid w:val="744939A3"/>
    <w:multiLevelType w:val="hybridMultilevel"/>
    <w:lvl w:ilvl="0">
      <w:lvlJc w:val="left"/>
      <w:lvlText w:val="(%1)"/>
      <w:numFmt w:val="lowerLetter"/>
      <w:start w:val="6"/>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Letter"/>
      <w:start w:val="2"/>
    </w:lvl>
  </w:abstractNum>
  <w:abstractNum w:abstractNumId="125">
    <w:nsid w:val="68B867D3"/>
    <w:multiLevelType w:val="hybridMultilevel"/>
    <w:lvl w:ilvl="0">
      <w:lvlJc w:val="left"/>
      <w:lvlText w:val="(%1)"/>
      <w:numFmt w:val="lowerLetter"/>
      <w:start w:val="1"/>
    </w:lvl>
  </w:abstractNum>
  <w:abstractNum w:abstractNumId="126">
    <w:nsid w:val="3F7F5DD9"/>
    <w:multiLevelType w:val="hybridMultilevel"/>
    <w:lvl w:ilvl="0">
      <w:lvlJc w:val="left"/>
      <w:lvlText w:val="(%1)"/>
      <w:numFmt w:val="lowerLetter"/>
      <w:start w:val="2"/>
    </w:lvl>
    <w:lvl w:ilvl="1">
      <w:lvlJc w:val="left"/>
      <w:lvlText w:val="(%2)"/>
      <w:numFmt w:val="lowerRoman"/>
      <w:start w:val="1"/>
    </w:lvl>
  </w:abstractNum>
  <w:abstractNum w:abstractNumId="127">
    <w:nsid w:val="2AE05A34"/>
    <w:multiLevelType w:val="hybridMultilevel"/>
    <w:lvl w:ilvl="0">
      <w:lvlJc w:val="left"/>
      <w:lvlText w:val="(%1)"/>
      <w:numFmt w:val="lowerLetter"/>
      <w:start w:val="3"/>
    </w:lvl>
    <w:lvl w:ilvl="1">
      <w:lvlJc w:val="left"/>
      <w:lvlText w:val="(%2)"/>
      <w:numFmt w:val="lowerRoman"/>
      <w:start w:val="1"/>
    </w:lvl>
  </w:abstractNum>
  <w:abstractNum w:abstractNumId="128">
    <w:nsid w:val="32794FF7"/>
    <w:multiLevelType w:val="hybridMultilevel"/>
    <w:lvl w:ilvl="0">
      <w:lvlJc w:val="left"/>
      <w:lvlText w:val="(%1)"/>
      <w:numFmt w:val="lowerLetter"/>
      <w:start w:val="4"/>
    </w:lvl>
    <w:lvl w:ilvl="1">
      <w:lvlJc w:val="left"/>
      <w:lvlText w:val="(%2)"/>
      <w:numFmt w:val="lowerRoman"/>
      <w:start w:val="1"/>
    </w:lvl>
  </w:abstractNum>
  <w:abstractNum w:abstractNumId="129">
    <w:nsid w:val="5454945E"/>
    <w:multiLevelType w:val="hybridMultilevel"/>
    <w:lvl w:ilvl="0">
      <w:lvlJc w:val="left"/>
      <w:lvlText w:val="(%1)"/>
      <w:numFmt w:val="lowerLetter"/>
      <w:start w:val="5"/>
    </w:lvl>
  </w:abstractNum>
  <w:abstractNum w:abstractNumId="130">
    <w:nsid w:val="4DEFDFA0"/>
    <w:multiLevelType w:val="hybridMultilevel"/>
    <w:lvl w:ilvl="0">
      <w:lvlJc w:val="left"/>
      <w:lvlText w:val="(%1)"/>
      <w:numFmt w:val="lowerLetter"/>
      <w:start w:val="6"/>
    </w:lvl>
  </w:abstractNum>
  <w:abstractNum w:abstractNumId="131">
    <w:nsid w:val="2123D5F2"/>
    <w:multiLevelType w:val="hybridMultilevel"/>
    <w:lvl w:ilvl="0">
      <w:lvlJc w:val="left"/>
      <w:lvlText w:val="(%1)"/>
      <w:numFmt w:val="lowerLetter"/>
      <w:start w:val="1"/>
    </w:lvl>
    <w:lvl w:ilvl="1">
      <w:lvlJc w:val="left"/>
      <w:lvlText w:val="(%2)"/>
      <w:numFmt w:val="lowerRoman"/>
      <w:start w:val="1"/>
    </w:lvl>
  </w:abstractNum>
  <w:abstractNum w:abstractNumId="132">
    <w:nsid w:val="135B8110"/>
    <w:multiLevelType w:val="hybridMultilevel"/>
    <w:lvl w:ilvl="0">
      <w:lvlJc w:val="left"/>
      <w:lvlText w:val="(%1)"/>
      <w:numFmt w:val="lowerLetter"/>
      <w:start w:val="2"/>
    </w:lvl>
  </w:abstractNum>
  <w:abstractNum w:abstractNumId="133">
    <w:nsid w:val="94927A8"/>
    <w:multiLevelType w:val="hybridMultilevel"/>
    <w:lvl w:ilvl="0">
      <w:lvlJc w:val="left"/>
      <w:lvlText w:val="(%1)"/>
      <w:numFmt w:val="lowerLetter"/>
      <w:start w:val="1"/>
    </w:lvl>
  </w:abstractNum>
  <w:abstractNum w:abstractNumId="134">
    <w:nsid w:val="DCDF8F6"/>
    <w:multiLevelType w:val="hybridMultilevel"/>
    <w:lvl w:ilvl="0">
      <w:lvlJc w:val="left"/>
      <w:lvlText w:val="(%1)"/>
      <w:numFmt w:val="lowerLetter"/>
      <w:start w:val="1"/>
    </w:lvl>
  </w:abstractNum>
  <w:abstractNum w:abstractNumId="135">
    <w:nsid w:val="52D7B105"/>
    <w:multiLevelType w:val="hybridMultilevel"/>
    <w:lvl w:ilvl="0">
      <w:lvlJc w:val="left"/>
      <w:lvlText w:val="(%1)"/>
      <w:numFmt w:val="lowerLetter"/>
      <w:start w:val="2"/>
    </w:lvl>
  </w:abstractNum>
  <w:abstractNum w:abstractNumId="136">
    <w:nsid w:val="2E8A6394"/>
    <w:multiLevelType w:val="hybridMultilevel"/>
    <w:lvl w:ilvl="0">
      <w:lvlJc w:val="left"/>
      <w:lvlText w:val="(%1)"/>
      <w:numFmt w:val="lowerLetter"/>
      <w:start w:val="1"/>
    </w:lvl>
    <w:lvl w:ilvl="1">
      <w:lvlJc w:val="left"/>
      <w:lvlText w:val="(%2)"/>
      <w:numFmt w:val="lowerRoman"/>
      <w:start w:val="1"/>
    </w:lvl>
  </w:abstractNum>
  <w:abstractNum w:abstractNumId="137">
    <w:nsid w:val="24E60401"/>
    <w:multiLevelType w:val="hybridMultilevel"/>
    <w:lvl w:ilvl="0">
      <w:lvlJc w:val="left"/>
      <w:lvlText w:val="%1"/>
      <w:numFmt w:val="lowerLetter"/>
      <w:start w:val="1"/>
    </w:lvl>
    <w:lvl w:ilvl="1">
      <w:lvlJc w:val="left"/>
      <w:lvlText w:val="(%2)"/>
      <w:numFmt w:val="lowerRoman"/>
      <w:start w:val="7"/>
    </w:lvl>
  </w:abstractNum>
  <w:abstractNum w:abstractNumId="138">
    <w:nsid w:val="2A6AD9BE"/>
    <w:multiLevelType w:val="hybridMultilevel"/>
    <w:lvl w:ilvl="0">
      <w:lvlJc w:val="left"/>
      <w:lvlText w:val="(%1)"/>
      <w:numFmt w:val="lowerLetter"/>
      <w:start w:val="2"/>
    </w:lvl>
    <w:lvl w:ilvl="1">
      <w:lvlJc w:val="left"/>
      <w:lvlText w:val="%2"/>
      <w:numFmt w:val="lowerRoman"/>
      <w:start w:val="1"/>
    </w:lvl>
  </w:abstractNum>
  <w:abstractNum w:abstractNumId="139">
    <w:nsid w:val="BAAC1B4"/>
    <w:multiLevelType w:val="hybridMultilevel"/>
    <w:lvl w:ilvl="0">
      <w:lvlJc w:val="left"/>
      <w:lvlText w:val="%1"/>
      <w:numFmt w:val="lowerLetter"/>
      <w:start w:val="1"/>
    </w:lvl>
    <w:lvl w:ilvl="1">
      <w:lvlJc w:val="left"/>
      <w:lvlText w:val="(%2)"/>
      <w:numFmt w:val="lowerLetter"/>
      <w:start w:val="1"/>
    </w:lvl>
  </w:abstractNum>
  <w:abstractNum w:abstractNumId="140">
    <w:nsid w:val="36B2ACBC"/>
    <w:multiLevelType w:val="hybridMultilevel"/>
    <w:lvl w:ilvl="0">
      <w:lvlJc w:val="left"/>
      <w:lvlText w:val="(%1)"/>
      <w:numFmt w:val="lowerLetter"/>
      <w:start w:val="2"/>
    </w:lvl>
    <w:lvl w:ilvl="1">
      <w:lvlJc w:val="left"/>
      <w:lvlText w:val="(%2)"/>
      <w:numFmt w:val="lowerLetter"/>
      <w:start w:val="2"/>
    </w:lvl>
  </w:abstractNum>
  <w:abstractNum w:abstractNumId="141">
    <w:nsid w:val="779D8544"/>
    <w:multiLevelType w:val="hybridMultilevel"/>
    <w:lvl w:ilvl="0">
      <w:lvlJc w:val="left"/>
      <w:lvlText w:val="(%1)"/>
      <w:numFmt w:val="lowerRoman"/>
      <w:start w:val="2"/>
    </w:lvl>
  </w:abstractNum>
  <w:abstractNum w:abstractNumId="142">
    <w:nsid w:val="4AB26E78"/>
    <w:multiLevelType w:val="hybridMultilevel"/>
    <w:lvl w:ilvl="0">
      <w:lvlJc w:val="left"/>
      <w:lvlText w:val="%1"/>
      <w:numFmt w:val="lowerLetter"/>
      <w:start w:val="1"/>
    </w:lvl>
    <w:lvl w:ilvl="1">
      <w:lvlJc w:val="left"/>
      <w:lvlText w:val="(%2)"/>
      <w:numFmt w:val="lowerLetter"/>
      <w:start w:val="1"/>
    </w:lvl>
  </w:abstractNum>
  <w:abstractNum w:abstractNumId="143">
    <w:nsid w:val="21FAA2FA"/>
    <w:multiLevelType w:val="hybridMultilevel"/>
    <w:lvl w:ilvl="0">
      <w:lvlJc w:val="left"/>
      <w:lvlText w:val="(%1)"/>
      <w:numFmt w:val="lowerLetter"/>
      <w:start w:val="9"/>
    </w:lvl>
    <w:lvl w:ilvl="1">
      <w:lvlJc w:val="left"/>
      <w:lvlText w:val="%2"/>
      <w:numFmt w:val="lowerLetter"/>
      <w:start w:val="1"/>
    </w:lvl>
  </w:abstractNum>
  <w:abstractNum w:abstractNumId="144">
    <w:nsid w:val="5451CF49"/>
    <w:multiLevelType w:val="hybridMultilevel"/>
    <w:lvl w:ilvl="0">
      <w:lvlJc w:val="left"/>
      <w:lvlText w:val="(%1)"/>
      <w:numFmt w:val="lowerLetter"/>
      <w:start w:val="3"/>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1"/>
    </w:lvl>
  </w:abstractNum>
  <w:abstractNum w:abstractNumId="147">
    <w:nsid w:val="14217E23"/>
    <w:multiLevelType w:val="hybridMultilevel"/>
    <w:lvl w:ilvl="0">
      <w:lvlJc w:val="left"/>
      <w:lvlText w:val="(%1)"/>
      <w:numFmt w:val="lowerLetter"/>
      <w:start w:val="6"/>
    </w:lvl>
  </w:abstractNum>
  <w:abstractNum w:abstractNumId="148">
    <w:nsid w:val="710757D0"/>
    <w:multiLevelType w:val="hybridMultilevel"/>
    <w:lvl w:ilvl="0">
      <w:lvlJc w:val="left"/>
      <w:lvlText w:val="(%1)"/>
      <w:numFmt w:val="lowerLetter"/>
      <w:start w:val="1"/>
    </w:lvl>
  </w:abstractNum>
  <w:abstractNum w:abstractNumId="149">
    <w:nsid w:val="5015CD1A"/>
    <w:multiLevelType w:val="hybridMultilevel"/>
    <w:lvl w:ilvl="0">
      <w:lvlJc w:val="left"/>
      <w:lvlText w:val="(%1)"/>
      <w:numFmt w:val="lowerLetter"/>
      <w:start w:val="1"/>
    </w:lvl>
  </w:abstractNum>
  <w:abstractNum w:abstractNumId="150">
    <w:nsid w:val="424479DA"/>
    <w:multiLevelType w:val="hybridMultilevel"/>
    <w:lvl w:ilvl="0">
      <w:lvlJc w:val="left"/>
      <w:lvlText w:val="(%1)"/>
      <w:numFmt w:val="lowerLetter"/>
      <w:start w:val="3"/>
    </w:lvl>
  </w:abstractNum>
  <w:abstractNum w:abstractNumId="151">
    <w:nsid w:val="1A9A9E69"/>
    <w:multiLevelType w:val="hybridMultilevel"/>
    <w:lvl w:ilvl="0">
      <w:lvlJc w:val="left"/>
      <w:lvlText w:val="(%1)"/>
      <w:numFmt w:val="lowerLetter"/>
      <w:start w:val="1"/>
    </w:lvl>
  </w:abstractNum>
  <w:abstractNum w:abstractNumId="152">
    <w:nsid w:val="475E256A"/>
    <w:multiLevelType w:val="hybridMultilevel"/>
    <w:lvl w:ilvl="0">
      <w:lvlJc w:val="left"/>
      <w:lvlText w:val="%1"/>
      <w:numFmt w:val="lowerLetter"/>
      <w:start w:val="1"/>
    </w:lvl>
    <w:lvl w:ilvl="1">
      <w:lvlJc w:val="left"/>
      <w:lvlText w:val="(%2)"/>
      <w:numFmt w:val="lowerLetter"/>
      <w:start w:val="3"/>
    </w:lvl>
  </w:abstractNum>
  <w:abstractNum w:abstractNumId="153">
    <w:nsid w:val="368DB37E"/>
    <w:multiLevelType w:val="hybridMultilevel"/>
    <w:lvl w:ilvl="0">
      <w:lvlJc w:val="left"/>
      <w:lvlText w:val="(%1)"/>
      <w:numFmt w:val="lowerLetter"/>
      <w:start w:val="4"/>
    </w:lvl>
    <w:lvl w:ilvl="1">
      <w:lvlJc w:val="left"/>
      <w:lvlText w:val="%2"/>
      <w:numFmt w:val="lowerLetter"/>
      <w:start w:val="1"/>
    </w:lvl>
  </w:abstractNum>
  <w:abstractNum w:abstractNumId="154">
    <w:nsid w:val="6A3B714C"/>
    <w:multiLevelType w:val="hybridMultilevel"/>
    <w:lvl w:ilvl="0">
      <w:lvlJc w:val="left"/>
      <w:lvlText w:val="%1"/>
      <w:numFmt w:val="lowerLetter"/>
      <w:start w:val="1"/>
    </w:lvl>
    <w:lvl w:ilvl="1">
      <w:lvlJc w:val="left"/>
      <w:lvlText w:val="(%2)"/>
      <w:numFmt w:val="lowerLetter"/>
      <w:start w:val="1"/>
    </w:lvl>
  </w:abstractNum>
  <w:abstractNum w:abstractNumId="155">
    <w:nsid w:val="327B517E"/>
    <w:multiLevelType w:val="hybridMultilevel"/>
    <w:lvl w:ilvl="0">
      <w:lvlJc w:val="left"/>
      <w:lvlText w:val="(%1)"/>
      <w:numFmt w:val="lowerLetter"/>
      <w:start w:val="2"/>
    </w:lvl>
    <w:lvl w:ilvl="1">
      <w:lvlJc w:val="left"/>
      <w:lvlText w:val="%2"/>
      <w:numFmt w:val="lowerLetter"/>
      <w:start w:val="1"/>
    </w:lvl>
  </w:abstractNum>
  <w:abstractNum w:abstractNumId="156">
    <w:nsid w:val="1F461B51"/>
    <w:multiLevelType w:val="hybridMultilevel"/>
    <w:lvl w:ilvl="0">
      <w:lvlJc w:val="left"/>
      <w:lvlText w:val="(%1)"/>
      <w:numFmt w:val="lowerLetter"/>
      <w:start w:val="2"/>
    </w:lvl>
  </w:abstractNum>
  <w:abstractNum w:abstractNumId="157">
    <w:nsid w:val="29BACF25"/>
    <w:multiLevelType w:val="hybridMultilevel"/>
    <w:lvl w:ilvl="0">
      <w:lvlJc w:val="left"/>
      <w:lvlText w:val="%1"/>
      <w:numFmt w:val="lowerLetter"/>
      <w:start w:val="1"/>
    </w:lvl>
    <w:lvl w:ilvl="1">
      <w:lvlJc w:val="left"/>
      <w:lvlText w:val="(%2)"/>
      <w:numFmt w:val="lowerLetter"/>
      <w:start w:val="1"/>
    </w:lvl>
  </w:abstractNum>
  <w:abstractNum w:abstractNumId="158">
    <w:nsid w:val="5D5BABB3"/>
    <w:multiLevelType w:val="hybridMultilevel"/>
    <w:lvl w:ilvl="0">
      <w:lvlJc w:val="left"/>
      <w:lvlText w:val="(%1)"/>
      <w:numFmt w:val="lowerLetter"/>
      <w:start w:val="61"/>
    </w:lvl>
    <w:lvl w:ilvl="1">
      <w:lvlJc w:val="left"/>
      <w:lvlText w:val="(%2)"/>
      <w:numFmt w:val="lowerLetter"/>
      <w:start w:val="3"/>
    </w:lvl>
  </w:abstractNum>
  <w:abstractNum w:abstractNumId="159">
    <w:nsid w:val="51BF6B48"/>
    <w:multiLevelType w:val="hybridMultilevel"/>
    <w:lvl w:ilvl="0">
      <w:lvlJc w:val="left"/>
      <w:lvlText w:val="(%1)"/>
      <w:numFmt w:val="lowerLetter"/>
      <w:start w:val="1"/>
    </w:lvl>
  </w:abstractNum>
  <w:abstractNum w:abstractNumId="160">
    <w:nsid w:val="7E0F6384"/>
    <w:multiLevelType w:val="hybridMultilevel"/>
    <w:lvl w:ilvl="0">
      <w:lvlJc w:val="left"/>
      <w:lvlText w:val="(%1)"/>
      <w:numFmt w:val="lowerRoman"/>
      <w:start w:val="1"/>
    </w:lvl>
  </w:abstractNum>
  <w:abstractNum w:abstractNumId="161">
    <w:nsid w:val="2B4B8B53"/>
    <w:multiLevelType w:val="hybridMultilevel"/>
    <w:lvl w:ilvl="0">
      <w:lvlJc w:val="left"/>
      <w:lvlText w:val="(%1)"/>
      <w:numFmt w:val="lowerLetter"/>
      <w:start w:val="1"/>
    </w:lvl>
  </w:abstractNum>
  <w:abstractNum w:abstractNumId="162">
    <w:nsid w:val="72E3413A"/>
    <w:multiLevelType w:val="hybridMultilevel"/>
    <w:lvl w:ilvl="0">
      <w:lvlJc w:val="left"/>
      <w:lvlText w:val="(%1)"/>
      <w:numFmt w:val="lowerLetter"/>
      <w:start w:val="3"/>
    </w:lvl>
  </w:abstractNum>
  <w:abstractNum w:abstractNumId="163">
    <w:nsid w:val="116AE494"/>
    <w:multiLevelType w:val="hybridMultilevel"/>
    <w:lvl w:ilvl="0">
      <w:lvlJc w:val="left"/>
      <w:lvlText w:val="(%1)"/>
      <w:numFmt w:val="lowerLetter"/>
      <w:start w:val="1"/>
    </w:lvl>
  </w:abstractNum>
  <w:abstractNum w:abstractNumId="164">
    <w:nsid w:val="3494B2FB"/>
    <w:multiLevelType w:val="hybridMultilevel"/>
    <w:lvl w:ilvl="0">
      <w:lvlJc w:val="left"/>
      <w:lvlText w:val="(%1)"/>
      <w:numFmt w:val="lowerLetter"/>
      <w:start w:val="8"/>
    </w:lvl>
  </w:abstractNum>
  <w:abstractNum w:abstractNumId="165">
    <w:nsid w:val="B13A31"/>
    <w:multiLevelType w:val="hybridMultilevel"/>
    <w:lvl w:ilvl="0">
      <w:lvlJc w:val="left"/>
      <w:lvlText w:val="(%1)"/>
      <w:numFmt w:val="lowerLetter"/>
      <w:start w:val="1"/>
    </w:lvl>
  </w:abstractNum>
  <w:abstractNum w:abstractNumId="166">
    <w:nsid w:val="64429599"/>
    <w:multiLevelType w:val="hybridMultilevel"/>
    <w:lvl w:ilvl="0">
      <w:lvlJc w:val="left"/>
      <w:lvlText w:val="(%1)"/>
      <w:numFmt w:val="lowerLetter"/>
      <w:start w:val="1"/>
    </w:lvl>
  </w:abstractNum>
  <w:abstractNum w:abstractNumId="167">
    <w:nsid w:val="631F1690"/>
    <w:multiLevelType w:val="hybridMultilevel"/>
    <w:lvl w:ilvl="0">
      <w:lvlJc w:val="left"/>
      <w:lvlText w:val="%1"/>
      <w:numFmt w:val="lowerLetter"/>
      <w:start w:val="1"/>
    </w:lvl>
    <w:lvl w:ilvl="1">
      <w:lvlJc w:val="left"/>
      <w:lvlText w:val="(%2)"/>
      <w:numFmt w:val="lowerLetter"/>
      <w:start w:val="4"/>
    </w:lvl>
  </w:abstractNum>
  <w:abstractNum w:abstractNumId="168">
    <w:nsid w:val="25973E32"/>
    <w:multiLevelType w:val="hybridMultilevel"/>
    <w:lvl w:ilvl="0">
      <w:lvlJc w:val="left"/>
      <w:lvlText w:val="(%1)"/>
      <w:numFmt w:val="lowerLetter"/>
      <w:start w:val="5"/>
    </w:lvl>
    <w:lvl w:ilvl="1">
      <w:lvlJc w:val="left"/>
      <w:lvlText w:val="(%2)"/>
      <w:numFmt w:val="lowerLetter"/>
      <w:start w:val="6"/>
    </w:lvl>
  </w:abstractNum>
  <w:abstractNum w:abstractNumId="169">
    <w:nsid w:val="EAD6F57"/>
    <w:multiLevelType w:val="hybridMultilevel"/>
    <w:lvl w:ilvl="0">
      <w:lvlJc w:val="left"/>
      <w:lvlText w:val="(%1)"/>
      <w:numFmt w:val="lowerLetter"/>
      <w:start w:val="13"/>
    </w:lvl>
  </w:abstractNum>
  <w:abstractNum w:abstractNumId="170">
    <w:nsid w:val="6EC9D844"/>
    <w:multiLevelType w:val="hybridMultilevel"/>
    <w:lvl w:ilvl="0">
      <w:lvlJc w:val="left"/>
      <w:lvlText w:val="(%1)"/>
      <w:numFmt w:val="lowerLetter"/>
      <w:start w:val="1"/>
    </w:lvl>
  </w:abstractNum>
  <w:abstractNum w:abstractNumId="171">
    <w:nsid w:val="5C49EAEE"/>
    <w:multiLevelType w:val="hybridMultilevel"/>
    <w:lvl w:ilvl="0">
      <w:lvlJc w:val="left"/>
      <w:lvlText w:val="(%1)"/>
      <w:numFmt w:val="lowerLetter"/>
      <w:start w:val="1"/>
    </w:lvl>
  </w:abstractNum>
  <w:abstractNum w:abstractNumId="172">
    <w:nsid w:val="64AF49B"/>
    <w:multiLevelType w:val="hybridMultilevel"/>
    <w:lvl w:ilvl="0">
      <w:lvlJc w:val="left"/>
      <w:lvlText w:val="(%1)"/>
      <w:numFmt w:val="lowerLetter"/>
      <w:start w:val="1"/>
    </w:lvl>
  </w:abstractNum>
  <w:abstractNum w:abstractNumId="173">
    <w:nsid w:val="397C46BC"/>
    <w:multiLevelType w:val="hybridMultilevel"/>
    <w:lvl w:ilvl="0">
      <w:lvlJc w:val="left"/>
      <w:lvlText w:val="(%1)"/>
      <w:numFmt w:val="lowerLetter"/>
      <w:start w:val="1"/>
    </w:lvl>
  </w:abstractNum>
  <w:abstractNum w:abstractNumId="174">
    <w:nsid w:val="7E448DE9"/>
    <w:multiLevelType w:val="hybridMultilevel"/>
    <w:lvl w:ilvl="0">
      <w:lvlJc w:val="left"/>
      <w:lvlText w:val="(%1)"/>
      <w:numFmt w:val="lowerLetter"/>
      <w:start w:val="1"/>
    </w:lvl>
  </w:abstractNum>
  <w:abstractNum w:abstractNumId="175">
    <w:nsid w:val="5A9CC3E5"/>
    <w:multiLevelType w:val="hybridMultilevel"/>
    <w:lvl w:ilvl="0">
      <w:lvlJc w:val="left"/>
      <w:lvlText w:val="(%1)"/>
      <w:numFmt w:val="lowerLetter"/>
      <w:start w:val="1"/>
    </w:lvl>
  </w:abstractNum>
  <w:abstractNum w:abstractNumId="176">
    <w:nsid w:val="1AFE3625"/>
    <w:multiLevelType w:val="hybridMultilevel"/>
    <w:lvl w:ilvl="0">
      <w:lvlJc w:val="left"/>
      <w:lvlText w:val="(%1)"/>
      <w:numFmt w:val="lowerLetter"/>
      <w:start w:val="4"/>
    </w:lvl>
  </w:abstractNum>
  <w:abstractNum w:abstractNumId="177">
    <w:nsid w:val="3CA88ECF"/>
    <w:multiLevelType w:val="hybridMultilevel"/>
    <w:lvl w:ilvl="0">
      <w:lvlJc w:val="left"/>
      <w:lvlText w:val="(%1)"/>
      <w:numFmt w:val="lowerLetter"/>
      <w:start w:val="9"/>
    </w:lvl>
  </w:abstractNum>
  <w:abstractNum w:abstractNumId="178">
    <w:nsid w:val="6EBE4208"/>
    <w:multiLevelType w:val="hybridMultilevel"/>
    <w:lvl w:ilvl="0">
      <w:lvlJc w:val="left"/>
      <w:lvlText w:val="(%1)"/>
      <w:numFmt w:val="lowerLetter"/>
      <w:start w:val="1"/>
    </w:lvl>
  </w:abstractNum>
  <w:abstractNum w:abstractNumId="179">
    <w:nsid w:val="C058DF5"/>
    <w:multiLevelType w:val="hybridMultilevel"/>
    <w:lvl w:ilvl="0">
      <w:lvlJc w:val="left"/>
      <w:lvlText w:val="(%1)"/>
      <w:numFmt w:val="lowerLetter"/>
      <w:start w:val="1"/>
    </w:lvl>
  </w:abstractNum>
  <w:abstractNum w:abstractNumId="180">
    <w:nsid w:val="CBE5BE9"/>
    <w:multiLevelType w:val="hybridMultilevel"/>
    <w:lvl w:ilvl="0">
      <w:lvlJc w:val="left"/>
      <w:lvlText w:val="(%1)"/>
      <w:numFmt w:val="lowerLetter"/>
      <w:start w:val="4"/>
    </w:lvl>
  </w:abstractNum>
  <w:abstractNum w:abstractNumId="181">
    <w:nsid w:val="3102BBE2"/>
    <w:multiLevelType w:val="hybridMultilevel"/>
    <w:lvl w:ilvl="0">
      <w:lvlJc w:val="left"/>
      <w:lvlText w:val="(%1)"/>
      <w:numFmt w:val="lowerLetter"/>
      <w:start w:val="1"/>
    </w:lvl>
  </w:abstractNum>
  <w:abstractNum w:abstractNumId="182">
    <w:nsid w:val="26A02C5E"/>
    <w:multiLevelType w:val="hybridMultilevel"/>
    <w:lvl w:ilvl="0">
      <w:lvlJc w:val="left"/>
      <w:lvlText w:val="(%1)"/>
      <w:numFmt w:val="lowerRoman"/>
      <w:start w:val="2"/>
    </w:lvl>
  </w:abstractNum>
  <w:abstractNum w:abstractNumId="183">
    <w:nsid w:val="541C8153"/>
    <w:multiLevelType w:val="hybridMultilevel"/>
    <w:lvl w:ilvl="0">
      <w:lvlJc w:val="left"/>
      <w:lvlText w:val="(%1)"/>
      <w:numFmt w:val="lowerLetter"/>
      <w:start w:val="1"/>
    </w:lvl>
  </w:abstractNum>
  <w:abstractNum w:abstractNumId="184">
    <w:nsid w:val="67906F6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5">
    <w:nsid w:val="10DB9DA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86">
    <w:nsid w:val="697D2D2"/>
    <w:multiLevelType w:val="hybridMultilevel"/>
    <w:lvl w:ilvl="0">
      <w:lvlJc w:val="left"/>
      <w:lvlText w:val="(%1)"/>
      <w:numFmt w:val="lowerLetter"/>
      <w:start w:val="1"/>
    </w:lvl>
  </w:abstractNum>
  <w:abstractNum w:abstractNumId="187">
    <w:nsid w:val="6D68AB2"/>
    <w:multiLevelType w:val="hybridMultilevel"/>
    <w:lvl w:ilvl="0">
      <w:lvlJc w:val="left"/>
      <w:lvlText w:val="(%1)"/>
      <w:numFmt w:val="lowerLetter"/>
      <w:start w:val="4"/>
    </w:lvl>
  </w:abstractNum>
  <w:abstractNum w:abstractNumId="188">
    <w:nsid w:val="3A966CD0"/>
    <w:multiLevelType w:val="hybridMultilevel"/>
    <w:lvl w:ilvl="0">
      <w:lvlJc w:val="left"/>
      <w:lvlText w:val="(%1)"/>
      <w:numFmt w:val="lowerRoman"/>
      <w:start w:val="3"/>
    </w:lvl>
  </w:abstractNum>
  <w:abstractNum w:abstractNumId="189">
    <w:nsid w:val="63F37E85"/>
    <w:multiLevelType w:val="hybridMultilevel"/>
    <w:lvl w:ilvl="0">
      <w:lvlJc w:val="left"/>
      <w:lvlText w:val="(%1)"/>
      <w:numFmt w:val="lowerLetter"/>
      <w:start w:val="1"/>
    </w:lvl>
    <w:lvl w:ilvl="1">
      <w:lvlJc w:val="left"/>
      <w:lvlText w:val="(%2)"/>
      <w:numFmt w:val="lowerRoman"/>
      <w:start w:val="1"/>
    </w:lvl>
  </w:abstractNum>
  <w:abstractNum w:abstractNumId="190">
    <w:nsid w:val="5895F5FA"/>
    <w:multiLevelType w:val="hybridMultilevel"/>
    <w:lvl w:ilvl="0">
      <w:lvlJc w:val="left"/>
      <w:lvlText w:val="(%1)"/>
      <w:numFmt w:val="lowerLetter"/>
      <w:start w:val="2"/>
    </w:lvl>
  </w:abstractNum>
  <w:abstractNum w:abstractNumId="191">
    <w:nsid w:val="38A5D054"/>
    <w:multiLevelType w:val="hybridMultilevel"/>
    <w:lvl w:ilvl="0">
      <w:lvlJc w:val="left"/>
      <w:lvlText w:val="(%1)"/>
      <w:numFmt w:val="lowerLetter"/>
      <w:start w:val="3"/>
    </w:lvl>
  </w:abstractNum>
  <w:abstractNum w:abstractNumId="192">
    <w:nsid w:val="F3F09D8"/>
    <w:multiLevelType w:val="hybridMultilevel"/>
    <w:lvl w:ilvl="0">
      <w:lvlJc w:val="left"/>
      <w:lvlText w:val="(%1)"/>
      <w:numFmt w:val="lowerLetter"/>
      <w:start w:val="5"/>
    </w:lvl>
  </w:abstractNum>
  <w:abstractNum w:abstractNumId="193">
    <w:nsid w:val="4B793735"/>
    <w:multiLevelType w:val="hybridMultilevel"/>
    <w:lvl w:ilvl="0">
      <w:lvlJc w:val="left"/>
      <w:lvlText w:val="(%1)"/>
      <w:numFmt w:val="lowerLetter"/>
      <w:start w:val="1"/>
    </w:lvl>
  </w:abstractNum>
  <w:abstractNum w:abstractNumId="194">
    <w:nsid w:val="4A10B4E8"/>
    <w:multiLevelType w:val="hybridMultilevel"/>
    <w:lvl w:ilvl="0">
      <w:lvlJc w:val="left"/>
      <w:lvlText w:val="(%1)"/>
      <w:numFmt w:val="lowerLetter"/>
      <w:start w:val="2"/>
    </w:lvl>
  </w:abstractNum>
  <w:abstractNum w:abstractNumId="195">
    <w:nsid w:val="43D3BCD4"/>
    <w:multiLevelType w:val="hybridMultilevel"/>
    <w:lvl w:ilvl="0">
      <w:lvlJc w:val="left"/>
      <w:lvlText w:val="(%1)"/>
      <w:numFmt w:val="lowerLetter"/>
      <w:start w:val="4"/>
    </w:lvl>
  </w:abstractNum>
  <w:abstractNum w:abstractNumId="196">
    <w:nsid w:val="4C2A716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7">
    <w:nsid w:val="2E534A82"/>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98">
    <w:nsid w:val="26F2D364"/>
    <w:multiLevelType w:val="hybridMultilevel"/>
    <w:lvl w:ilvl="0">
      <w:lvlJc w:val="left"/>
      <w:lvlText w:val="(%1)"/>
      <w:numFmt w:val="lowerRoman"/>
      <w:start w:val="3"/>
    </w:lvl>
    <w:lvl w:ilvl="1">
      <w:lvlJc w:val="left"/>
      <w:lvlText w:val="(%2)"/>
      <w:numFmt w:val="upperLetter"/>
      <w:start w:val="1"/>
    </w:lvl>
  </w:abstractNum>
  <w:abstractNum w:abstractNumId="199">
    <w:nsid w:val="71C1AF98"/>
    <w:multiLevelType w:val="hybridMultilevel"/>
    <w:lvl w:ilvl="0">
      <w:lvlJc w:val="left"/>
      <w:lvlText w:val="(%1)"/>
      <w:numFmt w:val="lowerLetter"/>
      <w:start w:val="3"/>
    </w:lvl>
  </w:abstractNum>
  <w:abstractNum w:abstractNumId="200">
    <w:nsid w:val="3D00B9D9"/>
    <w:multiLevelType w:val="hybridMultilevel"/>
    <w:lvl w:ilvl="0">
      <w:lvlJc w:val="left"/>
      <w:lvlText w:val="%1"/>
      <w:numFmt w:val="lowerLetter"/>
      <w:start w:val="1"/>
    </w:lvl>
    <w:lvl w:ilvl="1">
      <w:lvlJc w:val="left"/>
      <w:lvlText w:val="(%2)"/>
      <w:numFmt w:val="lowerLetter"/>
      <w:start w:val="5"/>
    </w:lvl>
  </w:abstractNum>
  <w:abstractNum w:abstractNumId="201">
    <w:nsid w:val="15BCABA8"/>
    <w:multiLevelType w:val="hybridMultilevel"/>
    <w:lvl w:ilvl="0">
      <w:lvlJc w:val="left"/>
      <w:lvlText w:val="(%1)"/>
      <w:numFmt w:val="lowerLetter"/>
      <w:start w:val="1"/>
    </w:lvl>
    <w:lvl w:ilvl="1">
      <w:lvlJc w:val="left"/>
      <w:lvlText w:val="%2"/>
      <w:numFmt w:val="lowerLetter"/>
      <w:start w:val="1"/>
    </w:lvl>
  </w:abstractNum>
  <w:abstractNum w:abstractNumId="202">
    <w:nsid w:val="4E0B9A87"/>
    <w:multiLevelType w:val="hybridMultilevel"/>
    <w:lvl w:ilvl="0">
      <w:lvlJc w:val="left"/>
      <w:lvlText w:val="(%1)"/>
      <w:numFmt w:val="lowerLetter"/>
      <w:start w:val="2"/>
    </w:lvl>
  </w:abstractNum>
  <w:abstractNum w:abstractNumId="203">
    <w:nsid w:val="434BAE75"/>
    <w:multiLevelType w:val="hybridMultilevel"/>
    <w:lvl w:ilvl="0">
      <w:lvlJc w:val="left"/>
      <w:lvlText w:val="(%1)"/>
      <w:numFmt w:val="lowerLetter"/>
      <w:start w:val="1"/>
    </w:lvl>
  </w:abstractNum>
  <w:abstractNum w:abstractNumId="204">
    <w:nsid w:val="4F38F265"/>
    <w:multiLevelType w:val="hybridMultilevel"/>
    <w:lvl w:ilvl="0">
      <w:lvlJc w:val="left"/>
      <w:lvlText w:val="(%1)"/>
      <w:numFmt w:val="lowerLetter"/>
      <w:start w:val="1"/>
    </w:lvl>
  </w:abstractNum>
  <w:abstractNum w:abstractNumId="205">
    <w:nsid w:val="4C502870"/>
    <w:multiLevelType w:val="hybridMultilevel"/>
    <w:lvl w:ilvl="0">
      <w:lvlJc w:val="left"/>
      <w:lvlText w:val="(%1)"/>
      <w:numFmt w:val="lowerLetter"/>
      <w:start w:val="2"/>
    </w:lvl>
  </w:abstractNum>
  <w:abstractNum w:abstractNumId="206">
    <w:nsid w:val="1DE8725A"/>
    <w:multiLevelType w:val="hybridMultilevel"/>
    <w:lvl w:ilvl="0">
      <w:lvlJc w:val="left"/>
      <w:lvlText w:val="(%1)"/>
      <w:numFmt w:val="lowerLetter"/>
      <w:start w:val="1"/>
    </w:lvl>
    <w:lvl w:ilvl="1">
      <w:lvlJc w:val="left"/>
      <w:lvlText w:val="(%2)"/>
      <w:numFmt w:val="lowerRoman"/>
      <w:start w:val="1"/>
    </w:lvl>
  </w:abstractNum>
  <w:abstractNum w:abstractNumId="207">
    <w:nsid w:val="6A37288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2026-10-27T16:11:42Z</dcterms:created>
  <dcterms:modified xsi:type="dcterms:W3CDTF">2026-10-27T16:11:42Z</dcterms:modified>
</cp:coreProperties>
</file>