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Watsco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942622200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2002</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___.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942622200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ectPr>
          <w:pgSz w:w="11900" w:h="16838" w:orient="portrait"/>
          <w:cols w:equalWidth="0" w:num="3">
            <w:col w:w="3300" w:space="720"/>
            <w:col w:w="1900" w:space="720"/>
            <w:col w:w="357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William Blair &amp; Company, L.L.C.</w:t>
      </w:r>
    </w:p>
    <w:p>
      <w:pPr>
        <w:ind w:left="540"/>
        <w:spacing w:after="0" w:line="238" w:lineRule="auto"/>
        <w:rPr>
          <w:sz w:val="20"/>
          <w:szCs w:val="20"/>
          <w:color w:val="auto"/>
        </w:rPr>
      </w:pPr>
      <w:r>
        <w:rPr>
          <w:rFonts w:ascii="Courier New" w:cs="Courier New" w:eastAsia="Courier New" w:hAnsi="Courier New"/>
          <w:sz w:val="18"/>
          <w:szCs w:val="18"/>
          <w:color w:val="auto"/>
        </w:rPr>
        <w:t>36-2214610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222 W. Adams</w:t>
      </w:r>
    </w:p>
    <w:p>
      <w:pPr>
        <w:ind w:left="540"/>
        <w:spacing w:after="0" w:line="238" w:lineRule="auto"/>
        <w:rPr>
          <w:sz w:val="20"/>
          <w:szCs w:val="20"/>
          <w:color w:val="auto"/>
        </w:rPr>
      </w:pPr>
      <w:r>
        <w:rPr>
          <w:rFonts w:ascii="Courier New" w:cs="Courier New" w:eastAsia="Courier New" w:hAnsi="Courier New"/>
          <w:sz w:val="18"/>
          <w:szCs w:val="18"/>
          <w:color w:val="auto"/>
        </w:rPr>
        <w:t>Chicago, Illinois 60606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1,850,550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1,850,550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1,850,550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BD, IA</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6 pages</w:t>
      </w:r>
    </w:p>
    <w:p>
      <w:pPr>
        <w:sectPr>
          <w:pgSz w:w="11900" w:h="16838" w:orient="portrait"/>
          <w:cols w:equalWidth="0" w:num="1">
            <w:col w:w="10219"/>
          </w:cols>
          <w:pgMar w:left="240" w:top="136" w:right="1440" w:bottom="1440" w:gutter="0" w:footer="0" w:header="0"/>
        </w:sectPr>
      </w:pPr>
    </w:p>
    <w:bookmarkStart w:id="2" w:name="page3"/>
    <w:bookmarkEnd w:id="2"/>
    <w:p>
      <w:pPr>
        <w:ind w:left="2740"/>
        <w:spacing w:after="0"/>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18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and Social Security Numbers of Reporting Persons--Furnish the full legal name of each person for whom the report is filed--i.e., each person required to sign the schedule itself--including each member of a group. Do not include the name of a person required to be identified in the report but who is not a reporting person. Reporting persons are also requested to furnish their Social Security or I.R.S. identification numbers, although disclosure of such numbers is voluntary, not mandatory (see "SPECIAL INSTRUCTIONS FOR COMPLYING WITH SCHEDULE 13G," below).</w:t>
      </w:r>
    </w:p>
    <w:p>
      <w:pPr>
        <w:spacing w:after="0" w:line="212"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such membership is expressly affirmed, please check row 2(a). If the membership in a group is disclaimed or the reporting person describes a relationship with other persons but does not affirm the existence of a group, please check row 2(b) [unless a joint filing pursuant to Rule 13d-1(e)(1) in which case it may not be necessary to check row 2(b)].</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879" w:firstLine="8"/>
        <w:spacing w:after="0" w:line="290"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Organization--Furnish citizenship if the named reporting person is a natural person. Otherwise, furnish place of organization.</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(5)-(9), (11) Aggregate Amount Beneficially Owned By Each Reporting Person, Etc.-- 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1879" w:firstLine="8"/>
        <w:spacing w:after="0" w:line="279"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reported as beneficially owned in row (9) does not include shares as to which beneficial ownership is disclaimed pursuant to Rule 13d-4 [17 CFR 240.13d-4] under the Securities Exchange Act of 1934.</w:t>
      </w:r>
    </w:p>
    <w:p>
      <w:pPr>
        <w:spacing w:after="0" w:line="178" w:lineRule="exact"/>
        <w:rPr>
          <w:sz w:val="20"/>
          <w:szCs w:val="20"/>
          <w:color w:val="auto"/>
        </w:rPr>
      </w:pPr>
    </w:p>
    <w:p>
      <w:pPr>
        <w:ind w:right="1779" w:firstLine="8"/>
        <w:spacing w:after="0" w:line="236"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Category</w:t>
            </w:r>
          </w:p>
        </w:tc>
        <w:tc>
          <w:tcPr>
            <w:tcW w:w="8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Symbol</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BD</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IC</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IV</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Adviser</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IA</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w:t>
            </w:r>
          </w:p>
        </w:tc>
        <w:tc>
          <w:tcPr>
            <w:tcW w:w="840" w:type="dxa"/>
            <w:vAlign w:val="bottom"/>
          </w:tcPr>
          <w:p>
            <w:pPr>
              <w:spacing w:after="0"/>
              <w:rPr>
                <w:sz w:val="17"/>
                <w:szCs w:val="17"/>
                <w:color w:val="auto"/>
              </w:rPr>
            </w:pPr>
          </w:p>
        </w:tc>
      </w:tr>
      <w:tr>
        <w:trPr>
          <w:trHeight w:val="203"/>
        </w:trPr>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Endowment Fund</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EP</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HC</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CO</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PN</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IN</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w:t>
      </w:r>
    </w:p>
    <w:p>
      <w:pPr>
        <w:sectPr>
          <w:pgSz w:w="11900" w:h="16838" w:orient="portrait"/>
          <w:cols w:equalWidth="0" w:num="1">
            <w:col w:w="10219"/>
          </w:cols>
          <w:pgMar w:left="240" w:top="71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security holders of certain issuers.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Disclosure of the information specified in this schedule is mandatory, except for Social Security or I.R.S. indentification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6 pages</w:t>
      </w:r>
    </w:p>
    <w:p>
      <w:pPr>
        <w:sectPr>
          <w:pgSz w:w="11900" w:h="16838" w:orient="portrait"/>
          <w:cols w:equalWidth="0" w:num="1">
            <w:col w:w="10219"/>
          </w:cols>
          <w:pgMar w:left="240" w:top="136" w:right="1440" w:bottom="1440" w:gutter="0" w:footer="0" w:header="0"/>
        </w:sectPr>
      </w:pPr>
    </w:p>
    <w:bookmarkStart w:id="4" w:name="page5"/>
    <w:bookmarkEnd w:id="4"/>
    <w:p>
      <w:pPr>
        <w:ind w:right="1879" w:firstLine="632"/>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statutes or provisions. Social Security or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Social Security 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jc w:val="both"/>
        <w:ind w:right="2319"/>
        <w:spacing w:after="0" w:line="279" w:lineRule="auto"/>
        <w:rPr>
          <w:sz w:val="20"/>
          <w:szCs w:val="20"/>
          <w:color w:val="auto"/>
        </w:rPr>
      </w:pPr>
      <w:r>
        <w:rPr>
          <w:rFonts w:ascii="Courier New" w:cs="Courier New" w:eastAsia="Courier New" w:hAnsi="Courier New"/>
          <w:sz w:val="16"/>
          <w:szCs w:val="16"/>
          <w:color w:val="auto"/>
        </w:rPr>
        <w:t>A. Statements containing the information required by this schedule shall be filed not later than February 14 following the calendar year covered by the statement or within the time specified in Rule 13d-1(b)(2), if applicable.</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Information contained in a form which is required to be filed by rules under section 13(f)(15 U.S.C. 78m(f))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 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280" w:right="7479" w:hanging="640"/>
        <w:spacing w:after="0" w:line="536" w:lineRule="auto"/>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Watsco Inc.</w:t>
      </w: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280"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2665 South Bayshore Drive suite 901</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Coconut Grove, FL 33133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William Blair &amp; Company, L.L.C.</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28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222 W. Adams Street Chicago, Illinois 60606</w:t>
      </w:r>
    </w:p>
    <w:p>
      <w:pPr>
        <w:spacing w:after="0" w:line="169" w:lineRule="exact"/>
        <w:rPr>
          <w:rFonts w:ascii="Courier New" w:cs="Courier New" w:eastAsia="Courier New" w:hAnsi="Courier New"/>
          <w:sz w:val="18"/>
          <w:szCs w:val="18"/>
          <w:color w:val="auto"/>
        </w:rPr>
      </w:pPr>
    </w:p>
    <w:p>
      <w:pPr>
        <w:ind w:left="1280" w:right="7779" w:hanging="640"/>
        <w:spacing w:after="0" w:line="536" w:lineRule="auto"/>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U.S.A</w:t>
      </w:r>
    </w:p>
    <w:p>
      <w:pPr>
        <w:ind w:left="1280" w:right="5999" w:hanging="640"/>
        <w:spacing w:after="0" w:line="470"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942622200</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p>
      <w:pPr>
        <w:ind w:left="1380" w:hanging="740"/>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w:t>
      </w:r>
    </w:p>
    <w:p>
      <w:pPr>
        <w:spacing w:after="0" w:line="201" w:lineRule="exact"/>
        <w:rPr>
          <w:rFonts w:ascii="Courier New" w:cs="Courier New" w:eastAsia="Courier New" w:hAnsi="Courier New"/>
          <w:sz w:val="18"/>
          <w:szCs w:val="18"/>
          <w:color w:val="auto"/>
        </w:rPr>
      </w:pPr>
    </w:p>
    <w:p>
      <w:pPr>
        <w:ind w:left="1380" w:hanging="740"/>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1" w:lineRule="exact"/>
        <w:rPr>
          <w:rFonts w:ascii="Courier New" w:cs="Courier New" w:eastAsia="Courier New" w:hAnsi="Courier New"/>
          <w:sz w:val="18"/>
          <w:szCs w:val="18"/>
          <w:color w:val="auto"/>
        </w:rPr>
      </w:pPr>
    </w:p>
    <w:p>
      <w:pPr>
        <w:ind w:left="1380" w:hanging="740"/>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201" w:lineRule="exact"/>
        <w:rPr>
          <w:rFonts w:ascii="Courier New" w:cs="Courier New" w:eastAsia="Courier New" w:hAnsi="Courier New"/>
          <w:sz w:val="18"/>
          <w:szCs w:val="18"/>
          <w:color w:val="auto"/>
        </w:rPr>
      </w:pPr>
    </w:p>
    <w:p>
      <w:pPr>
        <w:ind w:left="1380" w:hanging="740"/>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w:t>
      </w:r>
    </w:p>
    <w:p>
      <w:pPr>
        <w:sectPr>
          <w:pgSz w:w="11900" w:h="16838" w:orient="portrait"/>
          <w:cols w:equalWidth="0" w:num="1">
            <w:col w:w="10219"/>
          </w:cols>
          <w:pgMar w:left="240" w:top="723" w:right="1440" w:bottom="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Investment Company Act</w:t>
      </w:r>
    </w:p>
    <w:p>
      <w:pPr>
        <w:spacing w:after="0" w:line="207" w:lineRule="exact"/>
        <w:rPr>
          <w:sz w:val="20"/>
          <w:szCs w:val="20"/>
          <w:color w:val="auto"/>
        </w:rPr>
      </w:pPr>
    </w:p>
    <w:p>
      <w:pPr>
        <w:ind w:left="1900" w:right="2619" w:hanging="1260"/>
        <w:spacing w:after="0" w:line="235" w:lineRule="auto"/>
        <w:tabs>
          <w:tab w:leader="none" w:pos="137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1380" w:hanging="740"/>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Pension Fund which is subject to</w:t>
      </w:r>
    </w:p>
    <w:p>
      <w:pPr>
        <w:spacing w:after="0" w:line="4" w:lineRule="exact"/>
        <w:rPr>
          <w:sz w:val="20"/>
          <w:szCs w:val="20"/>
          <w:color w:val="auto"/>
        </w:rPr>
      </w:pPr>
    </w:p>
    <w:p>
      <w:pPr>
        <w:jc w:val="both"/>
        <w:ind w:left="1900" w:right="1879"/>
        <w:spacing w:after="0" w:line="290" w:lineRule="auto"/>
        <w:rPr>
          <w:sz w:val="20"/>
          <w:szCs w:val="20"/>
          <w:color w:val="auto"/>
        </w:rPr>
      </w:pPr>
      <w:r>
        <w:rPr>
          <w:rFonts w:ascii="Courier New" w:cs="Courier New" w:eastAsia="Courier New" w:hAnsi="Courier New"/>
          <w:sz w:val="16"/>
          <w:szCs w:val="16"/>
          <w:color w:val="auto"/>
        </w:rPr>
        <w:t>the provisions of the Employee Retirement Income Security Act of 1974 or Endowment Fund; see section 240.13d-1(b)(1)(ii)(F)</w:t>
      </w:r>
    </w:p>
    <w:p>
      <w:pPr>
        <w:spacing w:after="0" w:line="170" w:lineRule="exact"/>
        <w:rPr>
          <w:sz w:val="20"/>
          <w:szCs w:val="20"/>
          <w:color w:val="auto"/>
        </w:rPr>
      </w:pPr>
    </w:p>
    <w:p>
      <w:pPr>
        <w:ind w:left="1900" w:right="3039" w:hanging="1260"/>
        <w:spacing w:after="0" w:line="235" w:lineRule="auto"/>
        <w:tabs>
          <w:tab w:leader="none" w:pos="13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in accordance with section 240.13d-1(b)(ii)(G)(Note: See Item 7)</w:t>
      </w:r>
    </w:p>
    <w:p>
      <w:pPr>
        <w:spacing w:after="0" w:line="202" w:lineRule="exact"/>
        <w:rPr>
          <w:rFonts w:ascii="Courier New" w:cs="Courier New" w:eastAsia="Courier New" w:hAnsi="Courier New"/>
          <w:sz w:val="18"/>
          <w:szCs w:val="18"/>
          <w:color w:val="auto"/>
        </w:rPr>
      </w:pPr>
    </w:p>
    <w:p>
      <w:pPr>
        <w:ind w:left="1380" w:hanging="740"/>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240.13d-1(b)(1)(ii)(H)</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If the percent of the class owned, as of December 31 of the year covered by the statement, or as of the last day of any month described in Rule</w:t>
      </w:r>
    </w:p>
    <w:p>
      <w:pPr>
        <w:ind w:right="1879"/>
        <w:spacing w:after="0" w:line="236" w:lineRule="auto"/>
        <w:rPr>
          <w:sz w:val="20"/>
          <w:szCs w:val="20"/>
          <w:color w:val="auto"/>
        </w:rPr>
      </w:pPr>
      <w:r>
        <w:rPr>
          <w:rFonts w:ascii="Courier New" w:cs="Courier New" w:eastAsia="Courier New" w:hAnsi="Courier New"/>
          <w:sz w:val="18"/>
          <w:szCs w:val="18"/>
          <w:color w:val="auto"/>
        </w:rPr>
        <w:t>13d-1(b)(2), if applicable, exceeds five percent, provide the following information as of that date and identify those shares which there is a right to acquire.</w:t>
      </w:r>
    </w:p>
    <w:p>
      <w:pPr>
        <w:spacing w:after="0" w:line="209" w:lineRule="exact"/>
        <w:rPr>
          <w:sz w:val="20"/>
          <w:szCs w:val="20"/>
          <w:color w:val="auto"/>
        </w:rPr>
      </w:pPr>
    </w:p>
    <w:p>
      <w:pPr>
        <w:ind w:left="1280" w:right="6319" w:hanging="640"/>
        <w:spacing w:after="0" w:line="470"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1,850,550</w:t>
      </w:r>
    </w:p>
    <w:p>
      <w:pPr>
        <w:spacing w:after="0" w:line="11" w:lineRule="exact"/>
        <w:rPr>
          <w:rFonts w:ascii="Courier New" w:cs="Courier New" w:eastAsia="Courier New" w:hAnsi="Courier New"/>
          <w:sz w:val="18"/>
          <w:szCs w:val="18"/>
          <w:color w:val="auto"/>
        </w:rPr>
      </w:pPr>
    </w:p>
    <w:p>
      <w:pPr>
        <w:ind w:left="1280" w:right="7259" w:hanging="640"/>
        <w:spacing w:after="0" w:line="470"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7.8%</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6 pages</w:t>
      </w:r>
    </w:p>
    <w:p>
      <w:pPr>
        <w:sectPr>
          <w:pgSz w:w="11900" w:h="16838" w:orient="portrait"/>
          <w:cols w:equalWidth="0" w:num="1">
            <w:col w:w="10219"/>
          </w:cols>
          <w:pgMar w:left="240" w:top="136" w:right="1440" w:bottom="1440" w:gutter="0" w:footer="0" w:header="0"/>
        </w:sectPr>
      </w:pPr>
    </w:p>
    <w:bookmarkStart w:id="6" w:name="page7"/>
    <w:bookmarkEnd w:id="6"/>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1,850,550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1" w:lineRule="exact"/>
        <w:rPr>
          <w:rFonts w:ascii="Courier New" w:cs="Courier New" w:eastAsia="Courier New" w:hAnsi="Courier New"/>
          <w:sz w:val="18"/>
          <w:szCs w:val="18"/>
          <w:color w:val="auto"/>
        </w:rPr>
      </w:pPr>
    </w:p>
    <w:p>
      <w:pPr>
        <w:ind w:left="1900" w:right="2739" w:hanging="628"/>
        <w:spacing w:after="0" w:line="470"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1,850,550</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Rule 13d-3(d)(1).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ectPr>
          <w:pgSz w:w="11900" w:h="16838" w:orient="portrait"/>
          <w:cols w:equalWidth="0" w:num="1">
            <w:col w:w="10219"/>
          </w:cols>
          <w:pgMar w:left="240" w:top="717" w:right="1440" w:bottom="0" w:gutter="0" w:footer="0" w:header="0"/>
        </w:sectPr>
      </w:pPr>
    </w:p>
    <w:bookmarkStart w:id="7" w:name="page8"/>
    <w:bookmarkEnd w:id="7"/>
    <w:p>
      <w:pPr>
        <w:ind w:right="1999"/>
        <w:spacing w:after="0" w:line="235" w:lineRule="auto"/>
        <w:rPr>
          <w:sz w:val="20"/>
          <w:szCs w:val="20"/>
          <w:color w:val="auto"/>
        </w:rPr>
      </w:pPr>
      <w:r>
        <w:rPr>
          <w:rFonts w:ascii="Courier New" w:cs="Courier New" w:eastAsia="Courier New" w:hAnsi="Courier New"/>
          <w:sz w:val="18"/>
          <w:szCs w:val="18"/>
          <w:color w:val="auto"/>
        </w:rPr>
        <w:t>certify that the information set forth in this statement is true, complete and correct.</w:t>
      </w:r>
    </w:p>
    <w:p>
      <w:pPr>
        <w:spacing w:after="0" w:line="203"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8"/>
          <w:szCs w:val="18"/>
          <w:color w:val="auto"/>
        </w:rPr>
        <w:t>2-13-03</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8"/>
          <w:szCs w:val="18"/>
          <w:color w:val="auto"/>
        </w:rPr>
        <w:t>/S/ Michelle Seitz</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8"/>
          <w:szCs w:val="18"/>
          <w:color w:val="auto"/>
        </w:rPr>
        <w:t>Principal &amp; Manager of</w:t>
      </w:r>
    </w:p>
    <w:p>
      <w:pPr>
        <w:jc w:val="center"/>
        <w:ind w:right="-1380"/>
        <w:spacing w:after="0" w:line="238" w:lineRule="auto"/>
        <w:rPr>
          <w:sz w:val="20"/>
          <w:szCs w:val="20"/>
          <w:color w:val="auto"/>
        </w:rPr>
      </w:pPr>
      <w:r>
        <w:rPr>
          <w:rFonts w:ascii="Courier New" w:cs="Courier New" w:eastAsia="Courier New" w:hAnsi="Courier New"/>
          <w:sz w:val="18"/>
          <w:szCs w:val="18"/>
          <w:color w:val="auto"/>
        </w:rPr>
        <w:t>Investment Management Services</w:t>
      </w:r>
    </w:p>
    <w:p>
      <w:pPr>
        <w:ind w:left="4220"/>
        <w:spacing w:after="0"/>
        <w:rPr>
          <w:sz w:val="20"/>
          <w:szCs w:val="20"/>
          <w:color w:val="auto"/>
        </w:rPr>
      </w:pPr>
      <w:r>
        <w:rPr>
          <w:rFonts w:ascii="Courier New" w:cs="Courier New" w:eastAsia="Courier New" w:hAnsi="Courier New"/>
          <w:sz w:val="18"/>
          <w:szCs w:val="18"/>
          <w:color w:val="auto"/>
        </w:rPr>
        <w:t>------------------------------</w:t>
      </w:r>
    </w:p>
    <w:p>
      <w:pPr>
        <w:ind w:left="516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6 pages</w:t>
      </w:r>
    </w:p>
    <w:p>
      <w:pPr>
        <w:sectPr>
          <w:pgSz w:w="11900" w:h="16838" w:orient="portrait"/>
          <w:cols w:equalWidth="0" w:num="1">
            <w:col w:w="10219"/>
          </w:cols>
          <w:pgMar w:left="240" w:top="142" w:right="1440" w:bottom="1440" w:gutter="0" w:footer="0" w:header="0"/>
        </w:sectPr>
      </w:pPr>
    </w:p>
    <w:bookmarkStart w:id="8" w:name="page9"/>
    <w:bookmarkEnd w:id="8"/>
    <w:p>
      <w:pPr>
        <w:ind w:right="1879" w:firstLine="632"/>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w:t>
      </w:r>
    </w:p>
    <w:p>
      <w:pPr>
        <w:spacing w:after="0" w:line="20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3"/>
    </w:lvl>
  </w:abstractNum>
  <w:abstractNum w:abstractNumId="2">
    <w:nsid w:val="4DB127F8"/>
    <w:multiLevelType w:val="hybridMultilevel"/>
    <w:lvl w:ilvl="0">
      <w:lvlJc w:val="left"/>
      <w:lvlText w:val="%1."/>
      <w:numFmt w:val="decimal"/>
      <w:start w:val="4"/>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7"/>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2019-12-12T10:45:16Z</dcterms:created>
  <dcterms:modified xsi:type="dcterms:W3CDTF">2019-12-12T10:45:16Z</dcterms:modified>
</cp:coreProperties>
</file>