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Watsco,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942622200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1999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942622200</w:t>
            </w:r>
          </w:p>
        </w:tc>
        <w:tc>
          <w:tcPr>
            <w:tcW w:w="1100" w:type="dxa"/>
            <w:vAlign w:val="bottom"/>
          </w:tcPr>
          <w:p>
            <w:pPr>
              <w:ind w:left="80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19" w:firstLine="8"/>
        <w:spacing w:after="0" w:line="469"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139"/>
          </w:cols>
          <w:pgMar w:left="32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right="801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3" w:lineRule="exact"/>
        <w:rPr>
          <w:rFonts w:ascii="Courier New" w:cs="Courier New" w:eastAsia="Courier New" w:hAnsi="Courier New"/>
          <w:sz w:val="18"/>
          <w:szCs w:val="18"/>
          <w:color w:val="auto"/>
        </w:rPr>
      </w:pPr>
    </w:p>
    <w:p>
      <w:pPr>
        <w:ind w:right="781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2,072,975</w:t>
      </w:r>
    </w:p>
    <w:p>
      <w:pPr>
        <w:spacing w:after="0" w:line="13" w:lineRule="exact"/>
        <w:rPr>
          <w:rFonts w:ascii="Courier New" w:cs="Courier New" w:eastAsia="Courier New" w:hAnsi="Courier New"/>
          <w:sz w:val="18"/>
          <w:szCs w:val="18"/>
          <w:color w:val="auto"/>
        </w:rPr>
      </w:pPr>
    </w:p>
    <w:p>
      <w:pPr>
        <w:ind w:right="749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3" w:lineRule="exact"/>
        <w:rPr>
          <w:rFonts w:ascii="Courier New" w:cs="Courier New" w:eastAsia="Courier New" w:hAnsi="Courier New"/>
          <w:sz w:val="18"/>
          <w:szCs w:val="18"/>
          <w:color w:val="auto"/>
        </w:rPr>
      </w:pPr>
    </w:p>
    <w:p>
      <w:pPr>
        <w:ind w:right="7279" w:firstLine="8"/>
        <w:spacing w:after="0" w:line="469"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2,072,975</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2,072,975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7.99%</w:t>
      </w:r>
    </w:p>
    <w:p>
      <w:pPr>
        <w:spacing w:after="0" w:line="207" w:lineRule="exact"/>
        <w:rPr>
          <w:sz w:val="20"/>
          <w:szCs w:val="20"/>
          <w:color w:val="auto"/>
        </w:rPr>
      </w:pPr>
    </w:p>
    <w:p>
      <w:pPr>
        <w:ind w:right="7079" w:firstLine="8"/>
        <w:spacing w:after="0" w:line="469"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139"/>
          </w:cols>
          <w:pgMar w:left="32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Page 3 of</w:t>
            </w:r>
          </w:p>
        </w:tc>
        <w:tc>
          <w:tcPr>
            <w:tcW w:w="190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8</w:t>
            </w:r>
          </w:p>
        </w:tc>
        <w:tc>
          <w:tcPr>
            <w:tcW w:w="110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942622200</w:t>
            </w:r>
          </w:p>
        </w:tc>
        <w:tc>
          <w:tcPr>
            <w:tcW w:w="1100" w:type="dxa"/>
            <w:vAlign w:val="bottom"/>
          </w:tcPr>
          <w:p>
            <w:pPr>
              <w:ind w:left="80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SPECIAL VALUE FUND,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19" w:firstLine="8"/>
        <w:spacing w:after="0" w:line="469"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19" w:firstLine="8"/>
        <w:spacing w:after="0" w:line="469"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1,361,200</w:t>
      </w:r>
    </w:p>
    <w:p>
      <w:pPr>
        <w:spacing w:after="0" w:line="13" w:lineRule="exact"/>
        <w:rPr>
          <w:rFonts w:ascii="Courier New" w:cs="Courier New" w:eastAsia="Courier New" w:hAnsi="Courier New"/>
          <w:sz w:val="18"/>
          <w:szCs w:val="18"/>
          <w:color w:val="auto"/>
        </w:rPr>
      </w:pPr>
    </w:p>
    <w:p>
      <w:pPr>
        <w:ind w:right="7499" w:firstLine="8"/>
        <w:spacing w:after="0" w:line="469"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3" w:lineRule="exact"/>
        <w:rPr>
          <w:rFonts w:ascii="Courier New" w:cs="Courier New" w:eastAsia="Courier New" w:hAnsi="Courier New"/>
          <w:sz w:val="18"/>
          <w:szCs w:val="18"/>
          <w:color w:val="auto"/>
        </w:rPr>
      </w:pPr>
    </w:p>
    <w:p>
      <w:pPr>
        <w:ind w:right="7279" w:firstLine="8"/>
        <w:spacing w:after="0" w:line="469"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1,361,200</w:t>
      </w:r>
    </w:p>
    <w:p>
      <w:pPr>
        <w:spacing w:after="0" w:line="7"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1,361,200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5.25%</w:t>
      </w:r>
    </w:p>
    <w:p>
      <w:pPr>
        <w:spacing w:after="0" w:line="207" w:lineRule="exact"/>
        <w:rPr>
          <w:sz w:val="20"/>
          <w:szCs w:val="20"/>
          <w:color w:val="auto"/>
        </w:rPr>
      </w:pPr>
    </w:p>
    <w:p>
      <w:pPr>
        <w:ind w:right="7079" w:firstLine="8"/>
        <w:spacing w:after="0" w:line="469"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139"/>
          </w:cols>
          <w:pgMar w:left="32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8</w:t>
      </w:r>
    </w:p>
    <w:p>
      <w:pPr>
        <w:spacing w:after="0" w:line="207" w:lineRule="exact"/>
        <w:rPr>
          <w:sz w:val="20"/>
          <w:szCs w:val="20"/>
          <w:color w:val="auto"/>
        </w:rPr>
      </w:pPr>
    </w:p>
    <w:p>
      <w:pPr>
        <w:ind w:left="120" w:right="2339" w:hanging="112"/>
        <w:spacing w:after="0" w:line="235" w:lineRule="auto"/>
        <w:tabs>
          <w:tab w:leader="none" w:pos="43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860" w:right="7499" w:hanging="9"/>
        <w:spacing w:after="0" w:line="279" w:lineRule="auto"/>
        <w:tabs>
          <w:tab w:leader="none" w:pos="12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Watsco, Inc. (the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2665 South Bayshore Drive, Suite 901</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Coconut Grove, FL</w:t>
      </w:r>
      <w:r>
        <w:rPr>
          <w:sz w:val="20"/>
          <w:szCs w:val="20"/>
          <w:color w:val="auto"/>
        </w:rPr>
        <w:tab/>
      </w:r>
      <w:r>
        <w:rPr>
          <w:rFonts w:ascii="Courier New" w:cs="Courier New" w:eastAsia="Courier New" w:hAnsi="Courier New"/>
          <w:sz w:val="16"/>
          <w:szCs w:val="16"/>
          <w:color w:val="auto"/>
        </w:rPr>
        <w:t>33133</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SPECIAL VALUE FUND,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10381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SPECIAL VALUE FUND,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1680" w:val="left"/>
        </w:tabs>
        <w:rPr>
          <w:sz w:val="20"/>
          <w:szCs w:val="20"/>
          <w:color w:val="auto"/>
        </w:rPr>
      </w:pPr>
      <w:r>
        <w:rPr>
          <w:rFonts w:ascii="Courier New" w:cs="Courier New" w:eastAsia="Courier New" w:hAnsi="Courier New"/>
          <w:sz w:val="18"/>
          <w:szCs w:val="18"/>
          <w:color w:val="auto"/>
        </w:rPr>
        <w:t>Plainsboro, NJ</w:t>
      </w:r>
      <w:r>
        <w:rPr>
          <w:sz w:val="20"/>
          <w:szCs w:val="20"/>
          <w:color w:val="auto"/>
        </w:rPr>
        <w:tab/>
      </w:r>
      <w:r>
        <w:rPr>
          <w:rFonts w:ascii="Courier New" w:cs="Courier New" w:eastAsia="Courier New" w:hAnsi="Courier New"/>
          <w:sz w:val="16"/>
          <w:szCs w:val="16"/>
          <w:color w:val="auto"/>
        </w:rPr>
        <w:t>08536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See Item 4 of Cover Pages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ectPr>
          <w:pgSz w:w="11900" w:h="16838" w:orient="portrait"/>
          <w:cols w:equalWidth="0" w:num="1">
            <w:col w:w="10139"/>
          </w:cols>
          <w:pgMar w:left="32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120" w:right="2019" w:firstLine="211"/>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spacing w:after="0" w:line="202"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left="860" w:right="3079" w:hanging="852"/>
        <w:spacing w:after="0" w:line="235" w:lineRule="auto"/>
        <w:tabs>
          <w:tab w:leader="none" w:pos="22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Rule 13d-1(b)(1)(ii)(E),</w:t>
      </w:r>
    </w:p>
    <w:p>
      <w:pPr>
        <w:spacing w:after="0" w:line="4" w:lineRule="exact"/>
        <w:rPr>
          <w:rFonts w:ascii="Courier New" w:cs="Courier New" w:eastAsia="Courier New" w:hAnsi="Courier New"/>
          <w:sz w:val="18"/>
          <w:szCs w:val="18"/>
          <w:color w:val="auto"/>
        </w:rPr>
      </w:pPr>
    </w:p>
    <w:p>
      <w:pPr>
        <w:ind w:left="860" w:right="3599" w:hanging="852"/>
        <w:spacing w:after="0" w:line="235" w:lineRule="auto"/>
        <w:tabs>
          <w:tab w:leader="none" w:pos="22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860" w:right="349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13d-1(b)(ii)(G); see Item 7,</w:t>
      </w:r>
    </w:p>
    <w:p>
      <w:pPr>
        <w:spacing w:after="0" w:line="5" w:lineRule="exact"/>
        <w:rPr>
          <w:rFonts w:ascii="Courier New" w:cs="Courier New" w:eastAsia="Courier New" w:hAnsi="Courier New"/>
          <w:sz w:val="18"/>
          <w:szCs w:val="18"/>
          <w:color w:val="auto"/>
        </w:rPr>
      </w:pPr>
    </w:p>
    <w:p>
      <w:pPr>
        <w:ind w:left="860" w:right="3079" w:hanging="852"/>
        <w:spacing w:after="0" w:line="235" w:lineRule="auto"/>
        <w:tabs>
          <w:tab w:leader="none" w:pos="22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20" w:right="223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 A church plan that is excluded from the definition of an investment company under Section 3(c)(14) of the Investment Company</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1940,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 [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6859" w:hanging="312"/>
        <w:spacing w:after="0" w:line="536" w:lineRule="auto"/>
        <w:tabs>
          <w:tab w:leader="none" w:pos="53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759" w:hanging="526"/>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3" w:lineRule="exact"/>
        <w:rPr>
          <w:rFonts w:ascii="Courier New" w:cs="Courier New" w:eastAsia="Courier New" w:hAnsi="Courier New"/>
          <w:sz w:val="18"/>
          <w:szCs w:val="18"/>
          <w:color w:val="auto"/>
        </w:rPr>
      </w:pPr>
    </w:p>
    <w:p>
      <w:pPr>
        <w:ind w:left="1060" w:right="4559" w:hanging="631"/>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3" w:lineRule="exact"/>
        <w:rPr>
          <w:rFonts w:ascii="Courier New" w:cs="Courier New" w:eastAsia="Courier New" w:hAnsi="Courier New"/>
          <w:sz w:val="18"/>
          <w:szCs w:val="18"/>
          <w:color w:val="auto"/>
        </w:rPr>
      </w:pPr>
    </w:p>
    <w:p>
      <w:pPr>
        <w:ind w:left="1060" w:right="3399" w:hanging="736"/>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3" w:lineRule="exact"/>
        <w:rPr>
          <w:rFonts w:ascii="Courier New" w:cs="Courier New" w:eastAsia="Courier New" w:hAnsi="Courier New"/>
          <w:sz w:val="18"/>
          <w:szCs w:val="18"/>
          <w:color w:val="auto"/>
        </w:rPr>
      </w:pPr>
    </w:p>
    <w:p>
      <w:pPr>
        <w:ind w:left="1060" w:right="3179" w:hanging="631"/>
        <w:spacing w:after="0" w:line="469"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ectPr>
          <w:pgSz w:w="11900" w:h="16838" w:orient="portrait"/>
          <w:cols w:equalWidth="0" w:num="1">
            <w:col w:w="10139"/>
          </w:cols>
          <w:pgMar w:left="32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8</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Merrill Lynch &amp; Co., Inc. ("ML&amp;Co.") is a parent holding company.</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Merrill Lynch Asset Management Group ("AMG") is an operating division of ML&amp;Co. consisting of ML&amp;Co.'s indirectly owned asset management subsidiaries. Certain of these subsidiaries hold certain shares of the security which is the subject of this report. (See Item 7).</w:t>
      </w:r>
    </w:p>
    <w:p>
      <w:pPr>
        <w:spacing w:after="0" w:line="200" w:lineRule="exact"/>
        <w:rPr>
          <w:sz w:val="20"/>
          <w:szCs w:val="20"/>
          <w:color w:val="auto"/>
        </w:rPr>
      </w:pPr>
    </w:p>
    <w:p>
      <w:pPr>
        <w:spacing w:after="0" w:line="210" w:lineRule="exact"/>
        <w:rPr>
          <w:sz w:val="20"/>
          <w:szCs w:val="20"/>
          <w:color w:val="auto"/>
        </w:rPr>
      </w:pPr>
    </w:p>
    <w:p>
      <w:pPr>
        <w:ind w:left="220" w:right="2659" w:hanging="210"/>
        <w:spacing w:after="0" w:line="236"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Merrill Lynch &amp; Co., Inc. ("ML&amp;Co.") is a parent holding company.</w:t>
      </w:r>
    </w:p>
    <w:p>
      <w:pPr>
        <w:spacing w:after="0" w:line="4" w:lineRule="exact"/>
        <w:rPr>
          <w:sz w:val="20"/>
          <w:szCs w:val="20"/>
          <w:color w:val="auto"/>
        </w:rPr>
      </w:pPr>
    </w:p>
    <w:p>
      <w:pPr>
        <w:ind w:left="120" w:right="1919" w:hanging="104"/>
        <w:spacing w:after="0" w:line="268" w:lineRule="auto"/>
        <w:rPr>
          <w:sz w:val="20"/>
          <w:szCs w:val="20"/>
          <w:color w:val="auto"/>
        </w:rPr>
      </w:pPr>
      <w:r>
        <w:rPr>
          <w:rFonts w:ascii="Courier New" w:cs="Courier New" w:eastAsia="Courier New" w:hAnsi="Courier New"/>
          <w:sz w:val="16"/>
          <w:szCs w:val="16"/>
          <w:color w:val="auto"/>
        </w:rPr>
        <w:t>The Merrill Lynch Asset Management Group ("AMG") is an operating division of ML&amp;Co. consisting of ML&amp;Co.'s indirectly-owned asset management subsidiaries.</w:t>
      </w:r>
    </w:p>
    <w:p>
      <w:pPr>
        <w:ind w:left="120" w:right="1819" w:firstLine="105"/>
        <w:spacing w:after="0" w:line="235" w:lineRule="auto"/>
        <w:rPr>
          <w:sz w:val="20"/>
          <w:szCs w:val="20"/>
          <w:color w:val="auto"/>
        </w:rPr>
      </w:pPr>
      <w:r>
        <w:rPr>
          <w:rFonts w:ascii="Courier New" w:cs="Courier New" w:eastAsia="Courier New" w:hAnsi="Courier New"/>
          <w:sz w:val="18"/>
          <w:szCs w:val="18"/>
          <w:color w:val="auto"/>
        </w:rPr>
        <w:t>The following asset management subsidiaries hold certain shares of the common stock, which is the subject of this 13G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Fund Asset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8</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right"/>
        <w:ind w:left="120" w:right="2239"/>
        <w:spacing w:after="0" w:line="268" w:lineRule="auto"/>
        <w:rPr>
          <w:sz w:val="20"/>
          <w:szCs w:val="20"/>
          <w:color w:val="auto"/>
        </w:rPr>
      </w:pPr>
      <w:r>
        <w:rPr>
          <w:rFonts w:ascii="Courier New" w:cs="Courier New" w:eastAsia="Courier New" w:hAnsi="Courier New"/>
          <w:sz w:val="16"/>
          <w:szCs w:val="16"/>
          <w:color w:val="auto"/>
        </w:rPr>
        <w:t>By signing below each of the undersigned certifies that, to the best of their knowledge and belief, the securities referred to above were acquired and are held in the ordinary course of business and were not acquired and</w:t>
      </w:r>
    </w:p>
    <w:p>
      <w:pPr>
        <w:ind w:left="120" w:right="1819" w:firstLine="105"/>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20" w:right="16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Asset Management Group ("AMG"))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SPECIAL VALUE FUND,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Jerry Weiss</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Jerry Weiss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0" w:right="2119" w:hanging="104"/>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25, 1999, included as Exhibit B to Schedule 13G filed with the Securities and Exchange Commission by Merrill Lynch &amp; Co, Inc. (on behalf of Merrill Lynch Asset Management Group ("AMG")) on January 28, 1999 with respect to Creative Technologies.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pursuant to a power of attorney dated January 21, 2000, included as</w:t>
      </w:r>
    </w:p>
    <w:p>
      <w:pPr>
        <w:ind w:left="120"/>
        <w:spacing w:after="0" w:line="238" w:lineRule="auto"/>
        <w:rPr>
          <w:sz w:val="20"/>
          <w:szCs w:val="20"/>
          <w:color w:val="auto"/>
        </w:rPr>
      </w:pPr>
      <w:r>
        <w:rPr>
          <w:rFonts w:ascii="Courier New" w:cs="Courier New" w:eastAsia="Courier New" w:hAnsi="Courier New"/>
          <w:sz w:val="18"/>
          <w:szCs w:val="18"/>
          <w:color w:val="auto"/>
        </w:rPr>
        <w:t>Exhibit B to Schedule 13G filed with the Securities and Exchange Commission</w:t>
      </w:r>
    </w:p>
    <w:p>
      <w:pPr>
        <w:ind w:left="120"/>
        <w:spacing w:after="0" w:line="238" w:lineRule="auto"/>
        <w:rPr>
          <w:sz w:val="20"/>
          <w:szCs w:val="20"/>
          <w:color w:val="auto"/>
        </w:rPr>
      </w:pPr>
      <w:r>
        <w:rPr>
          <w:rFonts w:ascii="Courier New" w:cs="Courier New" w:eastAsia="Courier New" w:hAnsi="Courier New"/>
          <w:sz w:val="18"/>
          <w:szCs w:val="18"/>
          <w:color w:val="auto"/>
        </w:rPr>
        <w:t>by Merrill Lynch &amp; Co, Inc. (on behalf of Merrill Lynch Asset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("AMG")) on February 1, 2000 with respect to APAC Customer Services,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Watsco, Inc.</w:t>
      </w:r>
    </w:p>
    <w:p>
      <w:pPr>
        <w:sectPr>
          <w:pgSz w:w="11900" w:h="16838" w:orient="portrait"/>
          <w:cols w:equalWidth="0" w:num="1">
            <w:col w:w="10139"/>
          </w:cols>
          <w:pgMar w:left="32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120" w:right="1819" w:hanging="104"/>
        <w:spacing w:after="0" w:line="237" w:lineRule="auto"/>
        <w:rPr>
          <w:sz w:val="20"/>
          <w:szCs w:val="20"/>
          <w:color w:val="auto"/>
        </w:rPr>
      </w:pPr>
      <w:r>
        <w:rPr>
          <w:rFonts w:ascii="Courier New" w:cs="Courier New" w:eastAsia="Courier New" w:hAnsi="Courier New"/>
          <w:sz w:val="18"/>
          <w:szCs w:val="18"/>
          <w:color w:val="auto"/>
        </w:rPr>
        <w:t>Merrill Lynch Asset Management Group of ML&amp;Co. ("AMG") is comprised of the following legal entities: Merrill Lynch Asset Management, L.P. doing business as Merrill Lynch Asset Management ("MLAM"), Hotchkis and Wiley, QA Advisers, LLC ("QA"), Merrill Lynch Quantitative Advisers, Inc. and Mercury Asset Management Advisors divisions thereof; Fund Asset Management, L.P., doing business as Fund Asset Management ("FAM"); Merrill Lynch Asset Management U.K. Limited ("MLAM UK"); Merrill Lynch (Suisse) Investment M</w:t>
      </w:r>
    </w:p>
    <w:p>
      <w:pPr>
        <w:spacing w:after="0" w:line="8" w:lineRule="exact"/>
        <w:rPr>
          <w:sz w:val="20"/>
          <w:szCs w:val="20"/>
          <w:color w:val="auto"/>
        </w:rPr>
      </w:pPr>
    </w:p>
    <w:p>
      <w:pPr>
        <w:ind w:left="120" w:right="2019" w:hanging="104"/>
        <w:spacing w:after="0" w:line="268" w:lineRule="auto"/>
        <w:rPr>
          <w:sz w:val="20"/>
          <w:szCs w:val="20"/>
          <w:color w:val="auto"/>
        </w:rPr>
      </w:pPr>
      <w:r>
        <w:rPr>
          <w:rFonts w:ascii="Courier New" w:cs="Courier New" w:eastAsia="Courier New" w:hAnsi="Courier New"/>
          <w:sz w:val="16"/>
          <w:szCs w:val="16"/>
          <w:color w:val="auto"/>
        </w:rPr>
        <w:t>esellschaft MBH; Munich London Investment Management, Ltd.; Merrill Lynch Asset Management (Hong Kong) Limited; Merrill Lynch Mercury Asset Management Japan Limited; Atlas Asset Management, Inc.; Merrill Lynch Investment Management Canada, Inc.; DSP Merrill Lynch Asset Management (India) Limited; PT Merrill Lynch Indonesia; Merrill Lynch Phatra Securities Co., Ltd.; Merrill Lynch Global Asset Management, Limited; Mercury Asset Management Channel Islands Limited ("MAMCI"); Mercury Asset Management Internatio</w:t>
      </w:r>
    </w:p>
    <w:p>
      <w:pPr>
        <w:spacing w:after="0" w:line="1"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o various investment companies registered under Section 8 of the Investment Company Act of 1940. Each other firm constituting part of AMG is an investment adviser operating under the laws of a jurisdiction other than the United States. The investment advisers that comprise AMG exercise voting and investment powers over portfolio securities independently from other direct and indirect subsidiaries of ML&amp;Co.</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6"/>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4"/>
    </w:lvl>
  </w:abstractNum>
  <w:abstractNum w:abstractNumId="17">
    <w:nsid w:val="62BBD95A"/>
    <w:multiLevelType w:val="hybridMultilevel"/>
    <w:lvl w:ilvl="0">
      <w:lvlJc w:val="left"/>
      <w:lvlText w:val="[%1]"/>
      <w:numFmt w:val="upperLetter"/>
      <w:start w:val="24"/>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lvl w:ilvl="1">
      <w:lvlJc w:val="left"/>
      <w:lvlText w:val="(%2)"/>
      <w:numFmt w:val="lowerRoman"/>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2020-10-06T21:58:14Z</dcterms:created>
  <dcterms:modified xsi:type="dcterms:W3CDTF">2020-10-06T21:58:14Z</dcterms:modified>
</cp:coreProperties>
</file>